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6650" w14:textId="77777777" w:rsidR="000205C3" w:rsidRPr="00D9618D" w:rsidRDefault="00D9618D" w:rsidP="00742152">
      <w:pPr>
        <w:spacing w:after="0" w:line="240" w:lineRule="auto"/>
        <w:rPr>
          <w:rFonts w:cstheme="minorHAnsi"/>
          <w:b/>
          <w:sz w:val="28"/>
          <w:szCs w:val="28"/>
        </w:rPr>
      </w:pPr>
      <w:r w:rsidRPr="00D9618D">
        <w:rPr>
          <w:rFonts w:cstheme="minorHAnsi"/>
          <w:b/>
          <w:sz w:val="28"/>
          <w:szCs w:val="28"/>
        </w:rPr>
        <w:t xml:space="preserve">Příloha č. </w:t>
      </w:r>
      <w:r w:rsidR="00386AB8">
        <w:rPr>
          <w:rFonts w:cstheme="minorHAnsi"/>
          <w:b/>
          <w:sz w:val="28"/>
          <w:szCs w:val="28"/>
        </w:rPr>
        <w:t>12</w:t>
      </w:r>
    </w:p>
    <w:p w14:paraId="2F88B852" w14:textId="6630CDDF" w:rsidR="00D9618D" w:rsidRPr="00D9618D" w:rsidRDefault="00D9618D" w:rsidP="00541AC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Úpravy S</w:t>
      </w:r>
      <w:r w:rsidRPr="00D9618D">
        <w:rPr>
          <w:rFonts w:cstheme="minorHAnsi"/>
          <w:b/>
          <w:sz w:val="28"/>
          <w:szCs w:val="28"/>
        </w:rPr>
        <w:t>m</w:t>
      </w:r>
      <w:r w:rsidR="00D31DE5">
        <w:rPr>
          <w:rFonts w:cstheme="minorHAnsi"/>
          <w:b/>
          <w:sz w:val="28"/>
          <w:szCs w:val="28"/>
        </w:rPr>
        <w:t>l</w:t>
      </w:r>
      <w:r w:rsidR="00386AB8">
        <w:rPr>
          <w:rFonts w:cstheme="minorHAnsi"/>
          <w:b/>
          <w:sz w:val="28"/>
          <w:szCs w:val="28"/>
        </w:rPr>
        <w:t xml:space="preserve">ouvy v případě provozu na </w:t>
      </w:r>
      <w:r w:rsidR="0069039F">
        <w:rPr>
          <w:rFonts w:cstheme="minorHAnsi"/>
          <w:b/>
          <w:sz w:val="28"/>
          <w:szCs w:val="28"/>
        </w:rPr>
        <w:t>lince R2</w:t>
      </w:r>
      <w:r w:rsidR="00B25FFC">
        <w:rPr>
          <w:rFonts w:cstheme="minorHAnsi"/>
          <w:b/>
          <w:sz w:val="28"/>
          <w:szCs w:val="28"/>
        </w:rPr>
        <w:t>9</w:t>
      </w:r>
      <w:r w:rsidR="0069039F">
        <w:rPr>
          <w:rFonts w:cstheme="minorHAnsi"/>
          <w:b/>
          <w:sz w:val="28"/>
          <w:szCs w:val="28"/>
        </w:rPr>
        <w:t xml:space="preserve"> Kolín </w:t>
      </w:r>
      <w:r w:rsidR="00541ACB" w:rsidRPr="00541ACB">
        <w:rPr>
          <w:rFonts w:cstheme="minorHAnsi"/>
          <w:b/>
          <w:sz w:val="28"/>
          <w:szCs w:val="28"/>
        </w:rPr>
        <w:t>– Mladá Boleslav – Liberec</w:t>
      </w:r>
    </w:p>
    <w:p w14:paraId="2B13F08A" w14:textId="77777777" w:rsidR="00D9618D" w:rsidRPr="00D9618D" w:rsidRDefault="00D9618D" w:rsidP="00D9618D">
      <w:pPr>
        <w:spacing w:after="120" w:line="240" w:lineRule="auto"/>
        <w:rPr>
          <w:rFonts w:cstheme="minorHAnsi"/>
          <w:sz w:val="20"/>
          <w:szCs w:val="20"/>
        </w:rPr>
      </w:pPr>
    </w:p>
    <w:p w14:paraId="36FFB44D" w14:textId="77777777" w:rsidR="00D9618D" w:rsidRPr="00D9618D" w:rsidRDefault="00D9618D" w:rsidP="00A53F63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D9618D">
        <w:rPr>
          <w:rFonts w:cstheme="minorHAnsi"/>
          <w:b/>
          <w:caps/>
          <w:sz w:val="20"/>
          <w:szCs w:val="20"/>
        </w:rPr>
        <w:t>Článek 1</w:t>
      </w:r>
    </w:p>
    <w:p w14:paraId="6C0090F3" w14:textId="77777777" w:rsidR="00181D83" w:rsidRDefault="00D9618D" w:rsidP="00181D83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D9618D">
        <w:rPr>
          <w:rFonts w:cstheme="minorHAnsi"/>
          <w:b/>
          <w:caps/>
          <w:sz w:val="20"/>
          <w:szCs w:val="20"/>
        </w:rPr>
        <w:t>Oprávnění objednatele na rozšíření provozu</w:t>
      </w:r>
      <w:r w:rsidR="0069039F">
        <w:rPr>
          <w:rFonts w:cstheme="minorHAnsi"/>
          <w:b/>
          <w:caps/>
          <w:sz w:val="20"/>
          <w:szCs w:val="20"/>
        </w:rPr>
        <w:t xml:space="preserve"> </w:t>
      </w:r>
    </w:p>
    <w:p w14:paraId="0AB4C378" w14:textId="535E8426" w:rsidR="00D9618D" w:rsidRPr="00D9618D" w:rsidRDefault="0069039F" w:rsidP="00A53F63">
      <w:pPr>
        <w:spacing w:after="120" w:line="240" w:lineRule="auto"/>
        <w:jc w:val="center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t xml:space="preserve">o linku </w:t>
      </w:r>
      <w:r w:rsidR="00B25FFC">
        <w:rPr>
          <w:rFonts w:cstheme="minorHAnsi"/>
          <w:b/>
          <w:caps/>
          <w:sz w:val="20"/>
          <w:szCs w:val="20"/>
        </w:rPr>
        <w:t>R29</w:t>
      </w:r>
      <w:r>
        <w:rPr>
          <w:rFonts w:cstheme="minorHAnsi"/>
          <w:b/>
          <w:caps/>
          <w:sz w:val="20"/>
          <w:szCs w:val="20"/>
        </w:rPr>
        <w:t xml:space="preserve"> Kolín </w:t>
      </w:r>
      <w:r w:rsidR="00617516">
        <w:rPr>
          <w:rFonts w:cstheme="minorHAnsi"/>
          <w:b/>
          <w:caps/>
          <w:sz w:val="20"/>
          <w:szCs w:val="20"/>
        </w:rPr>
        <w:t>–</w:t>
      </w:r>
      <w:r>
        <w:rPr>
          <w:rFonts w:cstheme="minorHAnsi"/>
          <w:b/>
          <w:caps/>
          <w:sz w:val="20"/>
          <w:szCs w:val="20"/>
        </w:rPr>
        <w:t xml:space="preserve"> </w:t>
      </w:r>
      <w:r w:rsidR="00541ACB">
        <w:rPr>
          <w:rFonts w:cstheme="minorHAnsi"/>
          <w:b/>
          <w:caps/>
          <w:sz w:val="20"/>
          <w:szCs w:val="20"/>
        </w:rPr>
        <w:t xml:space="preserve">Mladá boleslav – </w:t>
      </w:r>
      <w:r>
        <w:rPr>
          <w:rFonts w:cstheme="minorHAnsi"/>
          <w:b/>
          <w:caps/>
          <w:sz w:val="20"/>
          <w:szCs w:val="20"/>
        </w:rPr>
        <w:t>Liberec</w:t>
      </w:r>
    </w:p>
    <w:p w14:paraId="53BB8FBC" w14:textId="4490B2A1" w:rsidR="00F747BC" w:rsidRPr="00F5005D" w:rsidRDefault="00111E6E" w:rsidP="00A53F63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F5005D">
        <w:rPr>
          <w:rFonts w:cstheme="minorHAnsi"/>
          <w:sz w:val="20"/>
          <w:szCs w:val="20"/>
        </w:rPr>
        <w:t>Dojde-li</w:t>
      </w:r>
      <w:r w:rsidR="00D31DE5" w:rsidRPr="00F5005D">
        <w:rPr>
          <w:rFonts w:cstheme="minorHAnsi"/>
          <w:sz w:val="20"/>
          <w:szCs w:val="20"/>
        </w:rPr>
        <w:t xml:space="preserve"> </w:t>
      </w:r>
      <w:r w:rsidR="00D9618D" w:rsidRPr="00F5005D">
        <w:rPr>
          <w:rFonts w:cstheme="minorHAnsi"/>
          <w:sz w:val="20"/>
          <w:szCs w:val="20"/>
        </w:rPr>
        <w:t xml:space="preserve">v průběhu </w:t>
      </w:r>
      <w:r w:rsidRPr="00F5005D">
        <w:rPr>
          <w:rFonts w:cstheme="minorHAnsi"/>
          <w:sz w:val="20"/>
          <w:szCs w:val="20"/>
        </w:rPr>
        <w:t>Doby plnění</w:t>
      </w:r>
      <w:r w:rsidR="00D9618D" w:rsidRPr="00F5005D">
        <w:rPr>
          <w:rFonts w:cstheme="minorHAnsi"/>
          <w:sz w:val="20"/>
          <w:szCs w:val="20"/>
        </w:rPr>
        <w:t xml:space="preserve"> k</w:t>
      </w:r>
      <w:r w:rsidR="0069039F">
        <w:rPr>
          <w:rFonts w:cstheme="minorHAnsi"/>
          <w:sz w:val="20"/>
          <w:szCs w:val="20"/>
        </w:rPr>
        <w:t> modernizaci dráhy mezi</w:t>
      </w:r>
      <w:r w:rsidR="00D31DE5" w:rsidRPr="00F5005D">
        <w:rPr>
          <w:rFonts w:cstheme="minorHAnsi"/>
          <w:sz w:val="20"/>
          <w:szCs w:val="20"/>
        </w:rPr>
        <w:t xml:space="preserve"> stanicemi </w:t>
      </w:r>
      <w:r w:rsidR="0069039F">
        <w:rPr>
          <w:rFonts w:cstheme="minorHAnsi"/>
          <w:sz w:val="20"/>
          <w:szCs w:val="20"/>
        </w:rPr>
        <w:t xml:space="preserve">Mladá Boleslav – Turnov a Turnov – Liberec, která s ohledem na regionální dopravu umožní zavést spoje Kolín </w:t>
      </w:r>
      <w:r w:rsidR="00E76B7D" w:rsidRPr="00541ACB">
        <w:rPr>
          <w:rFonts w:cstheme="minorHAnsi"/>
          <w:sz w:val="20"/>
          <w:szCs w:val="20"/>
        </w:rPr>
        <w:t>– Mladá Boleslav – Liberec</w:t>
      </w:r>
      <w:r w:rsidR="00E76B7D">
        <w:rPr>
          <w:rFonts w:cstheme="minorHAnsi"/>
          <w:sz w:val="20"/>
          <w:szCs w:val="20"/>
        </w:rPr>
        <w:t xml:space="preserve"> </w:t>
      </w:r>
      <w:r w:rsidR="0069039F">
        <w:rPr>
          <w:rFonts w:cstheme="minorHAnsi"/>
          <w:sz w:val="20"/>
          <w:szCs w:val="20"/>
        </w:rPr>
        <w:t>v rozsahu podle provozního konceptu uvedeného v příloze č. 12A</w:t>
      </w:r>
      <w:r w:rsidR="00593202">
        <w:rPr>
          <w:rFonts w:cstheme="minorHAnsi"/>
          <w:sz w:val="20"/>
          <w:szCs w:val="20"/>
        </w:rPr>
        <w:t xml:space="preserve"> této Smlouvy</w:t>
      </w:r>
      <w:r w:rsidR="00E83BAE" w:rsidRPr="00F5005D">
        <w:rPr>
          <w:rFonts w:cstheme="minorHAnsi"/>
          <w:sz w:val="20"/>
          <w:szCs w:val="20"/>
        </w:rPr>
        <w:t>, je Objednatel oprávněn oznámit</w:t>
      </w:r>
      <w:r w:rsidR="00D9618D" w:rsidRPr="00F5005D">
        <w:rPr>
          <w:rFonts w:cstheme="minorHAnsi"/>
          <w:sz w:val="20"/>
          <w:szCs w:val="20"/>
        </w:rPr>
        <w:t xml:space="preserve"> </w:t>
      </w:r>
      <w:r w:rsidR="00513023" w:rsidRPr="00F5005D">
        <w:rPr>
          <w:rFonts w:cstheme="minorHAnsi"/>
          <w:sz w:val="20"/>
          <w:szCs w:val="20"/>
        </w:rPr>
        <w:t>dopravci, že rozšiřuje objednané D</w:t>
      </w:r>
      <w:r w:rsidR="00D9618D" w:rsidRPr="00F5005D">
        <w:rPr>
          <w:rFonts w:cstheme="minorHAnsi"/>
          <w:sz w:val="20"/>
          <w:szCs w:val="20"/>
        </w:rPr>
        <w:t xml:space="preserve">opravní výkony </w:t>
      </w:r>
      <w:r w:rsidR="0069039F">
        <w:rPr>
          <w:rFonts w:cstheme="minorHAnsi"/>
          <w:sz w:val="20"/>
          <w:szCs w:val="20"/>
        </w:rPr>
        <w:t xml:space="preserve">o linku </w:t>
      </w:r>
      <w:r w:rsidR="00B25FFC">
        <w:rPr>
          <w:rFonts w:cstheme="minorHAnsi"/>
          <w:sz w:val="20"/>
          <w:szCs w:val="20"/>
        </w:rPr>
        <w:t>R29</w:t>
      </w:r>
      <w:r w:rsidR="0069039F">
        <w:rPr>
          <w:rFonts w:cstheme="minorHAnsi"/>
          <w:sz w:val="20"/>
          <w:szCs w:val="20"/>
        </w:rPr>
        <w:t xml:space="preserve"> Kolín </w:t>
      </w:r>
      <w:r w:rsidR="00541ACB" w:rsidRPr="00541ACB">
        <w:rPr>
          <w:rFonts w:cstheme="minorHAnsi"/>
          <w:sz w:val="20"/>
          <w:szCs w:val="20"/>
        </w:rPr>
        <w:t>– Mladá Boleslav – Liberec</w:t>
      </w:r>
      <w:r w:rsidR="00D9618D" w:rsidRPr="00F5005D">
        <w:rPr>
          <w:rFonts w:cstheme="minorHAnsi"/>
          <w:sz w:val="20"/>
          <w:szCs w:val="20"/>
        </w:rPr>
        <w:t xml:space="preserve">. </w:t>
      </w:r>
      <w:r w:rsidR="0085708A" w:rsidRPr="00F5005D">
        <w:rPr>
          <w:rFonts w:cstheme="minorHAnsi"/>
          <w:sz w:val="20"/>
          <w:szCs w:val="20"/>
        </w:rPr>
        <w:t>Pod</w:t>
      </w:r>
      <w:r w:rsidR="00D56B2F">
        <w:rPr>
          <w:rFonts w:cstheme="minorHAnsi"/>
          <w:sz w:val="20"/>
          <w:szCs w:val="20"/>
        </w:rPr>
        <w:t>le jízdního řádu pro období 202</w:t>
      </w:r>
      <w:r w:rsidR="00A53F63">
        <w:rPr>
          <w:rFonts w:cstheme="minorHAnsi"/>
          <w:sz w:val="20"/>
          <w:szCs w:val="20"/>
        </w:rPr>
        <w:t>4</w:t>
      </w:r>
      <w:r w:rsidR="00D56B2F">
        <w:rPr>
          <w:rFonts w:cstheme="minorHAnsi"/>
          <w:sz w:val="20"/>
          <w:szCs w:val="20"/>
        </w:rPr>
        <w:t>/202</w:t>
      </w:r>
      <w:r w:rsidR="00A53F63">
        <w:rPr>
          <w:rFonts w:cstheme="minorHAnsi"/>
          <w:sz w:val="20"/>
          <w:szCs w:val="20"/>
        </w:rPr>
        <w:t>5</w:t>
      </w:r>
      <w:r w:rsidR="0085708A" w:rsidRPr="00F5005D">
        <w:rPr>
          <w:rFonts w:cstheme="minorHAnsi"/>
          <w:sz w:val="20"/>
          <w:szCs w:val="20"/>
        </w:rPr>
        <w:t>, zpracovaného podle §</w:t>
      </w:r>
      <w:r w:rsidR="00A53F63">
        <w:rPr>
          <w:rFonts w:cstheme="minorHAnsi"/>
          <w:sz w:val="20"/>
          <w:szCs w:val="20"/>
        </w:rPr>
        <w:t> </w:t>
      </w:r>
      <w:r w:rsidR="0085708A" w:rsidRPr="00F5005D">
        <w:rPr>
          <w:rFonts w:cstheme="minorHAnsi"/>
          <w:sz w:val="20"/>
          <w:szCs w:val="20"/>
        </w:rPr>
        <w:t xml:space="preserve">40 Zákona o dráhách, </w:t>
      </w:r>
      <w:r w:rsidR="0069039F" w:rsidRPr="0069039F">
        <w:rPr>
          <w:rFonts w:cstheme="minorHAnsi"/>
          <w:sz w:val="20"/>
          <w:szCs w:val="20"/>
        </w:rPr>
        <w:t>se jedná při prav</w:t>
      </w:r>
      <w:r w:rsidR="00B25FFC">
        <w:rPr>
          <w:rFonts w:cstheme="minorHAnsi"/>
          <w:sz w:val="20"/>
          <w:szCs w:val="20"/>
        </w:rPr>
        <w:t>idelném provozu o úseky drah č. </w:t>
      </w:r>
      <w:r w:rsidR="0069039F" w:rsidRPr="0069039F">
        <w:rPr>
          <w:rFonts w:cstheme="minorHAnsi"/>
          <w:sz w:val="20"/>
          <w:szCs w:val="20"/>
        </w:rPr>
        <w:t>231 Kolín – Nymburk, 062 Nymburk – Mladá Boleslav</w:t>
      </w:r>
      <w:r w:rsidR="0069039F">
        <w:rPr>
          <w:rFonts w:cstheme="minorHAnsi"/>
          <w:sz w:val="20"/>
          <w:szCs w:val="20"/>
        </w:rPr>
        <w:t>,</w:t>
      </w:r>
      <w:r w:rsidR="0069039F" w:rsidRPr="0069039F">
        <w:rPr>
          <w:rFonts w:cstheme="minorHAnsi"/>
          <w:sz w:val="20"/>
          <w:szCs w:val="20"/>
        </w:rPr>
        <w:t xml:space="preserve"> 070 </w:t>
      </w:r>
      <w:r w:rsidR="0069039F">
        <w:rPr>
          <w:rFonts w:cstheme="minorHAnsi"/>
          <w:sz w:val="20"/>
          <w:szCs w:val="20"/>
        </w:rPr>
        <w:t>Mladá Boleslav</w:t>
      </w:r>
      <w:r w:rsidR="0069039F" w:rsidRPr="0069039F">
        <w:rPr>
          <w:rFonts w:cstheme="minorHAnsi"/>
          <w:sz w:val="20"/>
          <w:szCs w:val="20"/>
        </w:rPr>
        <w:t xml:space="preserve"> – </w:t>
      </w:r>
      <w:r w:rsidR="00A53F63" w:rsidRPr="0069039F">
        <w:rPr>
          <w:rFonts w:cstheme="minorHAnsi"/>
          <w:sz w:val="20"/>
          <w:szCs w:val="20"/>
        </w:rPr>
        <w:t>Turnov</w:t>
      </w:r>
      <w:r w:rsidR="00A53F63">
        <w:rPr>
          <w:rFonts w:cstheme="minorHAnsi"/>
          <w:sz w:val="20"/>
          <w:szCs w:val="20"/>
        </w:rPr>
        <w:t xml:space="preserve">, </w:t>
      </w:r>
      <w:r w:rsidR="00A53F63" w:rsidRPr="0069039F">
        <w:rPr>
          <w:rFonts w:cstheme="minorHAnsi"/>
          <w:sz w:val="20"/>
          <w:szCs w:val="20"/>
        </w:rPr>
        <w:t>030</w:t>
      </w:r>
      <w:r w:rsidR="0069039F" w:rsidRPr="0069039F">
        <w:rPr>
          <w:rFonts w:cstheme="minorHAnsi"/>
          <w:sz w:val="20"/>
          <w:szCs w:val="20"/>
        </w:rPr>
        <w:t xml:space="preserve"> </w:t>
      </w:r>
      <w:r w:rsidR="0069039F">
        <w:rPr>
          <w:rFonts w:cstheme="minorHAnsi"/>
          <w:sz w:val="20"/>
          <w:szCs w:val="20"/>
        </w:rPr>
        <w:t>Turnov – Liberec</w:t>
      </w:r>
      <w:r w:rsidR="0085708A" w:rsidRPr="00F5005D">
        <w:rPr>
          <w:rFonts w:cstheme="minorHAnsi"/>
          <w:sz w:val="20"/>
          <w:szCs w:val="20"/>
        </w:rPr>
        <w:t xml:space="preserve">. </w:t>
      </w:r>
      <w:r w:rsidR="00E83BAE" w:rsidRPr="00F5005D">
        <w:rPr>
          <w:rFonts w:cstheme="minorHAnsi"/>
          <w:sz w:val="20"/>
          <w:szCs w:val="20"/>
        </w:rPr>
        <w:t>Toto oznámení</w:t>
      </w:r>
      <w:r w:rsidR="00D9618D" w:rsidRPr="00F5005D">
        <w:rPr>
          <w:rFonts w:cstheme="minorHAnsi"/>
          <w:sz w:val="20"/>
          <w:szCs w:val="20"/>
        </w:rPr>
        <w:t xml:space="preserve"> Objednatele musí být </w:t>
      </w:r>
      <w:r w:rsidR="00F747BC" w:rsidRPr="00F5005D">
        <w:rPr>
          <w:rFonts w:cstheme="minorHAnsi"/>
          <w:sz w:val="20"/>
          <w:szCs w:val="20"/>
        </w:rPr>
        <w:t xml:space="preserve">Dopravci </w:t>
      </w:r>
      <w:r w:rsidR="00D9618D" w:rsidRPr="00F5005D">
        <w:rPr>
          <w:rFonts w:cstheme="minorHAnsi"/>
          <w:sz w:val="20"/>
          <w:szCs w:val="20"/>
        </w:rPr>
        <w:t xml:space="preserve">odesláno v době </w:t>
      </w:r>
      <w:r w:rsidR="00D31DE5" w:rsidRPr="00F5005D">
        <w:rPr>
          <w:rFonts w:cstheme="minorHAnsi"/>
          <w:sz w:val="20"/>
          <w:szCs w:val="20"/>
        </w:rPr>
        <w:t xml:space="preserve">alespoň </w:t>
      </w:r>
      <w:r w:rsidR="00EE0471">
        <w:rPr>
          <w:rFonts w:cstheme="minorHAnsi"/>
          <w:sz w:val="20"/>
          <w:szCs w:val="20"/>
        </w:rPr>
        <w:t xml:space="preserve">čtyřiceti osmi </w:t>
      </w:r>
      <w:r w:rsidR="00D9618D" w:rsidRPr="00F5005D">
        <w:rPr>
          <w:rFonts w:cstheme="minorHAnsi"/>
          <w:sz w:val="20"/>
          <w:szCs w:val="20"/>
        </w:rPr>
        <w:t>(</w:t>
      </w:r>
      <w:r w:rsidR="00EE0471">
        <w:rPr>
          <w:rFonts w:cstheme="minorHAnsi"/>
          <w:sz w:val="20"/>
          <w:szCs w:val="20"/>
        </w:rPr>
        <w:t>48</w:t>
      </w:r>
      <w:r w:rsidR="00D9618D" w:rsidRPr="00F5005D">
        <w:rPr>
          <w:rFonts w:cstheme="minorHAnsi"/>
          <w:sz w:val="20"/>
          <w:szCs w:val="20"/>
        </w:rPr>
        <w:t xml:space="preserve">) </w:t>
      </w:r>
      <w:r w:rsidR="00A64480" w:rsidRPr="00F5005D">
        <w:rPr>
          <w:rFonts w:cstheme="minorHAnsi"/>
          <w:sz w:val="20"/>
          <w:szCs w:val="20"/>
        </w:rPr>
        <w:t xml:space="preserve">měsíců </w:t>
      </w:r>
      <w:r w:rsidR="00D9618D" w:rsidRPr="00F5005D">
        <w:rPr>
          <w:rFonts w:cstheme="minorHAnsi"/>
          <w:sz w:val="20"/>
          <w:szCs w:val="20"/>
        </w:rPr>
        <w:t>před požadavkem na</w:t>
      </w:r>
      <w:r w:rsidR="00593202">
        <w:rPr>
          <w:rFonts w:cstheme="minorHAnsi"/>
          <w:sz w:val="20"/>
          <w:szCs w:val="20"/>
        </w:rPr>
        <w:t> </w:t>
      </w:r>
      <w:r w:rsidR="00D9618D" w:rsidRPr="00F5005D">
        <w:rPr>
          <w:rFonts w:cstheme="minorHAnsi"/>
          <w:sz w:val="20"/>
          <w:szCs w:val="20"/>
        </w:rPr>
        <w:t>zahájení rozšířeného provozu</w:t>
      </w:r>
      <w:r w:rsidR="00F747BC" w:rsidRPr="00F5005D">
        <w:rPr>
          <w:rFonts w:cstheme="minorHAnsi"/>
          <w:sz w:val="20"/>
          <w:szCs w:val="20"/>
        </w:rPr>
        <w:t xml:space="preserve"> způsobem, který je </w:t>
      </w:r>
      <w:r w:rsidR="00742152" w:rsidRPr="00F5005D">
        <w:rPr>
          <w:rFonts w:cstheme="minorHAnsi"/>
          <w:sz w:val="20"/>
          <w:szCs w:val="20"/>
        </w:rPr>
        <w:t xml:space="preserve">blíže </w:t>
      </w:r>
      <w:r w:rsidR="00F747BC" w:rsidRPr="00F5005D">
        <w:rPr>
          <w:rFonts w:cstheme="minorHAnsi"/>
          <w:sz w:val="20"/>
          <w:szCs w:val="20"/>
        </w:rPr>
        <w:t>vymezen v článku 2</w:t>
      </w:r>
      <w:r w:rsidR="001B3CD7">
        <w:rPr>
          <w:rFonts w:cstheme="minorHAnsi"/>
          <w:sz w:val="20"/>
          <w:szCs w:val="20"/>
        </w:rPr>
        <w:t>8</w:t>
      </w:r>
      <w:r w:rsidR="00F747BC" w:rsidRPr="00F5005D">
        <w:rPr>
          <w:rFonts w:cstheme="minorHAnsi"/>
          <w:sz w:val="20"/>
          <w:szCs w:val="20"/>
        </w:rPr>
        <w:t xml:space="preserve"> této Smlouvy</w:t>
      </w:r>
      <w:r w:rsidR="00695485" w:rsidRPr="00F5005D">
        <w:rPr>
          <w:rFonts w:cstheme="minorHAnsi"/>
          <w:sz w:val="20"/>
          <w:szCs w:val="20"/>
        </w:rPr>
        <w:t>.</w:t>
      </w:r>
    </w:p>
    <w:p w14:paraId="5D860187" w14:textId="6D5648EA" w:rsidR="00695485" w:rsidRDefault="00803370" w:rsidP="00A53F63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F5005D">
        <w:rPr>
          <w:rFonts w:cstheme="minorHAnsi"/>
          <w:sz w:val="20"/>
          <w:szCs w:val="20"/>
        </w:rPr>
        <w:t xml:space="preserve">Provede-li Objednatel oznámení podle odst. 1 tohoto článku, </w:t>
      </w:r>
      <w:r w:rsidR="00695485" w:rsidRPr="00F5005D">
        <w:rPr>
          <w:rFonts w:cstheme="minorHAnsi"/>
          <w:sz w:val="20"/>
          <w:szCs w:val="20"/>
        </w:rPr>
        <w:t xml:space="preserve">Smluvní strany </w:t>
      </w:r>
      <w:r w:rsidRPr="00F5005D">
        <w:rPr>
          <w:rFonts w:cstheme="minorHAnsi"/>
          <w:sz w:val="20"/>
          <w:szCs w:val="20"/>
        </w:rPr>
        <w:t xml:space="preserve">se </w:t>
      </w:r>
      <w:r w:rsidR="00695485" w:rsidRPr="00F5005D">
        <w:rPr>
          <w:rFonts w:cstheme="minorHAnsi"/>
          <w:sz w:val="20"/>
          <w:szCs w:val="20"/>
        </w:rPr>
        <w:t xml:space="preserve">zavazují změny </w:t>
      </w:r>
      <w:r w:rsidR="00781ACF" w:rsidRPr="00F5005D">
        <w:rPr>
          <w:rFonts w:cstheme="minorHAnsi"/>
          <w:sz w:val="20"/>
          <w:szCs w:val="20"/>
        </w:rPr>
        <w:t xml:space="preserve">vyvolané </w:t>
      </w:r>
      <w:r w:rsidRPr="00F5005D">
        <w:rPr>
          <w:rFonts w:cstheme="minorHAnsi"/>
          <w:sz w:val="20"/>
          <w:szCs w:val="20"/>
        </w:rPr>
        <w:t xml:space="preserve">tímto </w:t>
      </w:r>
      <w:r w:rsidR="00781ACF" w:rsidRPr="00F5005D">
        <w:rPr>
          <w:rFonts w:cstheme="minorHAnsi"/>
          <w:sz w:val="20"/>
          <w:szCs w:val="20"/>
        </w:rPr>
        <w:t xml:space="preserve">oznámením </w:t>
      </w:r>
      <w:r w:rsidR="00695485" w:rsidRPr="00F5005D">
        <w:rPr>
          <w:rFonts w:cstheme="minorHAnsi"/>
          <w:sz w:val="20"/>
          <w:szCs w:val="20"/>
        </w:rPr>
        <w:t xml:space="preserve">zapracovat do příslušných dodatků </w:t>
      </w:r>
      <w:r w:rsidRPr="00F5005D">
        <w:rPr>
          <w:rFonts w:cstheme="minorHAnsi"/>
          <w:sz w:val="20"/>
          <w:szCs w:val="20"/>
        </w:rPr>
        <w:t xml:space="preserve">této </w:t>
      </w:r>
      <w:r w:rsidR="00695485" w:rsidRPr="00F5005D">
        <w:rPr>
          <w:rFonts w:cstheme="minorHAnsi"/>
          <w:sz w:val="20"/>
          <w:szCs w:val="20"/>
        </w:rPr>
        <w:t>Smlouvy, které se týkají Období provozu, ve</w:t>
      </w:r>
      <w:r w:rsidR="00E83BAE" w:rsidRPr="00F5005D">
        <w:rPr>
          <w:rFonts w:cstheme="minorHAnsi"/>
          <w:sz w:val="20"/>
          <w:szCs w:val="20"/>
        </w:rPr>
        <w:t> </w:t>
      </w:r>
      <w:r w:rsidR="00695485" w:rsidRPr="00F5005D">
        <w:rPr>
          <w:rFonts w:cstheme="minorHAnsi"/>
          <w:sz w:val="20"/>
          <w:szCs w:val="20"/>
        </w:rPr>
        <w:t>kte</w:t>
      </w:r>
      <w:r w:rsidRPr="00F5005D">
        <w:rPr>
          <w:rFonts w:cstheme="minorHAnsi"/>
          <w:sz w:val="20"/>
          <w:szCs w:val="20"/>
        </w:rPr>
        <w:t>rých mají být na základě oznámení</w:t>
      </w:r>
      <w:r w:rsidR="00695485" w:rsidRPr="00F5005D">
        <w:rPr>
          <w:rFonts w:cstheme="minorHAnsi"/>
          <w:sz w:val="20"/>
          <w:szCs w:val="20"/>
        </w:rPr>
        <w:t xml:space="preserve"> Objednatele podle odst.</w:t>
      </w:r>
      <w:r w:rsidR="00A53F63">
        <w:rPr>
          <w:rFonts w:cstheme="minorHAnsi"/>
          <w:sz w:val="20"/>
          <w:szCs w:val="20"/>
        </w:rPr>
        <w:t> </w:t>
      </w:r>
      <w:r w:rsidR="00695485" w:rsidRPr="00F5005D">
        <w:rPr>
          <w:rFonts w:cstheme="minorHAnsi"/>
          <w:sz w:val="20"/>
          <w:szCs w:val="20"/>
        </w:rPr>
        <w:t xml:space="preserve">1 vlaky </w:t>
      </w:r>
      <w:r w:rsidR="00D31DE5" w:rsidRPr="00F5005D">
        <w:rPr>
          <w:rFonts w:cstheme="minorHAnsi"/>
          <w:sz w:val="20"/>
          <w:szCs w:val="20"/>
        </w:rPr>
        <w:t xml:space="preserve">na lince </w:t>
      </w:r>
      <w:r w:rsidR="00B25FFC">
        <w:rPr>
          <w:rFonts w:cstheme="minorHAnsi"/>
          <w:sz w:val="20"/>
          <w:szCs w:val="20"/>
        </w:rPr>
        <w:t>R29</w:t>
      </w:r>
      <w:r w:rsidR="00D31DE5" w:rsidRPr="00F5005D">
        <w:rPr>
          <w:rFonts w:cstheme="minorHAnsi"/>
          <w:sz w:val="20"/>
          <w:szCs w:val="20"/>
        </w:rPr>
        <w:t xml:space="preserve"> </w:t>
      </w:r>
      <w:r w:rsidR="00564CA4">
        <w:rPr>
          <w:rFonts w:cstheme="minorHAnsi"/>
          <w:sz w:val="20"/>
          <w:szCs w:val="20"/>
        </w:rPr>
        <w:t>provozovány</w:t>
      </w:r>
      <w:r w:rsidR="00593202">
        <w:rPr>
          <w:rFonts w:cstheme="minorHAnsi"/>
          <w:sz w:val="20"/>
          <w:szCs w:val="20"/>
        </w:rPr>
        <w:t>, a </w:t>
      </w:r>
      <w:r w:rsidRPr="00F5005D">
        <w:rPr>
          <w:rFonts w:cstheme="minorHAnsi"/>
          <w:sz w:val="20"/>
          <w:szCs w:val="20"/>
        </w:rPr>
        <w:t>Do</w:t>
      </w:r>
      <w:r w:rsidR="00781ACF" w:rsidRPr="00F5005D">
        <w:rPr>
          <w:rFonts w:cstheme="minorHAnsi"/>
          <w:sz w:val="20"/>
          <w:szCs w:val="20"/>
        </w:rPr>
        <w:t xml:space="preserve">pravce se zavazuje </w:t>
      </w:r>
      <w:r w:rsidR="00781ACF">
        <w:rPr>
          <w:rFonts w:cstheme="minorHAnsi"/>
          <w:sz w:val="20"/>
          <w:szCs w:val="20"/>
        </w:rPr>
        <w:t>takový provoz zajistit</w:t>
      </w:r>
      <w:r w:rsidR="00695485" w:rsidRPr="00781ACF">
        <w:rPr>
          <w:rFonts w:cstheme="minorHAnsi"/>
          <w:sz w:val="20"/>
          <w:szCs w:val="20"/>
        </w:rPr>
        <w:t>.</w:t>
      </w:r>
    </w:p>
    <w:p w14:paraId="4E15AD29" w14:textId="31AFA4C1" w:rsidR="00B25FFC" w:rsidRPr="00B25FFC" w:rsidRDefault="00B25FFC" w:rsidP="00A53F63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B25FFC">
        <w:rPr>
          <w:rFonts w:cstheme="minorHAnsi"/>
          <w:sz w:val="20"/>
          <w:szCs w:val="20"/>
        </w:rPr>
        <w:t xml:space="preserve">Bude-li v průběhu plnění této Smlouvy zahájen provoz na nové dráze v prostoru mezi </w:t>
      </w:r>
      <w:r>
        <w:rPr>
          <w:rFonts w:cstheme="minorHAnsi"/>
          <w:sz w:val="20"/>
          <w:szCs w:val="20"/>
        </w:rPr>
        <w:t>Nymburkem</w:t>
      </w:r>
      <w:r w:rsidR="00181D83">
        <w:rPr>
          <w:rFonts w:cstheme="minorHAnsi"/>
          <w:sz w:val="20"/>
          <w:szCs w:val="20"/>
        </w:rPr>
        <w:t xml:space="preserve"> a</w:t>
      </w:r>
      <w:r w:rsidR="00A53F63">
        <w:rPr>
          <w:rFonts w:cstheme="minorHAnsi"/>
          <w:sz w:val="20"/>
          <w:szCs w:val="20"/>
        </w:rPr>
        <w:t xml:space="preserve"> </w:t>
      </w:r>
      <w:r w:rsidRPr="00B25FFC">
        <w:rPr>
          <w:rFonts w:cstheme="minorHAnsi"/>
          <w:sz w:val="20"/>
          <w:szCs w:val="20"/>
        </w:rPr>
        <w:t>Mladou Boleslav</w:t>
      </w:r>
      <w:r w:rsidR="00181D83">
        <w:rPr>
          <w:rFonts w:cstheme="minorHAnsi"/>
          <w:sz w:val="20"/>
          <w:szCs w:val="20"/>
        </w:rPr>
        <w:t>í</w:t>
      </w:r>
      <w:r>
        <w:rPr>
          <w:rFonts w:cstheme="minorHAnsi"/>
          <w:sz w:val="20"/>
          <w:szCs w:val="20"/>
        </w:rPr>
        <w:t xml:space="preserve"> </w:t>
      </w:r>
      <w:r w:rsidRPr="00B25FFC">
        <w:rPr>
          <w:rFonts w:cstheme="minorHAnsi"/>
          <w:sz w:val="20"/>
          <w:szCs w:val="20"/>
        </w:rPr>
        <w:t>a vozidla v parametrech podle této Smlouvy budou moci tuto dráhu využívat, je Objednatel oprávněn převést provozování Dopravních výkonů na tuto dráhu, přičemž se pro úpravu kompenzace použije postup podle čl. 8 odst. 1 písm. a) této Smlouvy. Takovou změnu oznámí Objednatel dopravci nejméně dvanáct (12) měsíců předem.</w:t>
      </w:r>
    </w:p>
    <w:p w14:paraId="78F576E6" w14:textId="77777777" w:rsidR="00742152" w:rsidRPr="00781ACF" w:rsidRDefault="00742152" w:rsidP="00A53F63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BDF541B" w14:textId="77777777" w:rsidR="00742152" w:rsidRPr="00781ACF" w:rsidRDefault="00742152" w:rsidP="00A53F63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781ACF">
        <w:rPr>
          <w:rFonts w:cstheme="minorHAnsi"/>
          <w:b/>
          <w:caps/>
          <w:sz w:val="20"/>
          <w:szCs w:val="20"/>
        </w:rPr>
        <w:t>Článek 2</w:t>
      </w:r>
    </w:p>
    <w:p w14:paraId="41AA8812" w14:textId="269353FA" w:rsidR="00742152" w:rsidRPr="00781ACF" w:rsidRDefault="00742152" w:rsidP="00A53F63">
      <w:pPr>
        <w:spacing w:after="12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781ACF">
        <w:rPr>
          <w:rFonts w:cstheme="minorHAnsi"/>
          <w:b/>
          <w:caps/>
          <w:sz w:val="20"/>
          <w:szCs w:val="20"/>
        </w:rPr>
        <w:t>provozní koncepce</w:t>
      </w:r>
    </w:p>
    <w:p w14:paraId="4632E28C" w14:textId="1364076B" w:rsidR="00695485" w:rsidRPr="00781ACF" w:rsidRDefault="00593202" w:rsidP="00A53F63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Předpokládaná podoba </w:t>
      </w:r>
      <w:r w:rsidR="00D9618D" w:rsidRPr="00781ACF">
        <w:rPr>
          <w:rFonts w:cstheme="minorHAnsi"/>
          <w:sz w:val="20"/>
          <w:szCs w:val="20"/>
        </w:rPr>
        <w:t>provoz</w:t>
      </w:r>
      <w:r w:rsidR="00695485" w:rsidRPr="00781ACF">
        <w:rPr>
          <w:rFonts w:cstheme="minorHAnsi"/>
          <w:sz w:val="20"/>
          <w:szCs w:val="20"/>
        </w:rPr>
        <w:t>u</w:t>
      </w:r>
      <w:r w:rsidR="00D9618D" w:rsidRPr="00781ACF">
        <w:rPr>
          <w:rFonts w:cstheme="minorHAnsi"/>
          <w:sz w:val="20"/>
          <w:szCs w:val="20"/>
        </w:rPr>
        <w:t xml:space="preserve"> vlaků</w:t>
      </w:r>
      <w:r w:rsidR="00781AC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linky </w:t>
      </w:r>
      <w:r w:rsidR="00B25FFC">
        <w:rPr>
          <w:rFonts w:cstheme="minorHAnsi"/>
          <w:sz w:val="20"/>
          <w:szCs w:val="20"/>
        </w:rPr>
        <w:t>R29</w:t>
      </w:r>
      <w:r>
        <w:rPr>
          <w:rFonts w:cstheme="minorHAnsi"/>
          <w:sz w:val="20"/>
          <w:szCs w:val="20"/>
        </w:rPr>
        <w:t xml:space="preserve"> Kolín </w:t>
      </w:r>
      <w:r w:rsidR="00E76B7D" w:rsidRPr="00541ACB">
        <w:rPr>
          <w:rFonts w:cstheme="minorHAnsi"/>
          <w:sz w:val="20"/>
          <w:szCs w:val="20"/>
        </w:rPr>
        <w:t>– Mladá Boleslav – Liberec</w:t>
      </w:r>
      <w:r w:rsidR="00E76B7D">
        <w:rPr>
          <w:rFonts w:cstheme="minorHAnsi"/>
          <w:sz w:val="20"/>
          <w:szCs w:val="20"/>
        </w:rPr>
        <w:t xml:space="preserve"> </w:t>
      </w:r>
      <w:r w:rsidR="00D9618D" w:rsidRPr="00781ACF">
        <w:rPr>
          <w:rFonts w:cstheme="minorHAnsi"/>
          <w:sz w:val="20"/>
          <w:szCs w:val="20"/>
        </w:rPr>
        <w:t>je stanoven</w:t>
      </w:r>
      <w:r w:rsidR="00695485" w:rsidRPr="00781ACF">
        <w:rPr>
          <w:rFonts w:cstheme="minorHAnsi"/>
          <w:sz w:val="20"/>
          <w:szCs w:val="20"/>
        </w:rPr>
        <w:t>a</w:t>
      </w:r>
      <w:r w:rsidR="00D9618D" w:rsidRPr="00781ACF">
        <w:rPr>
          <w:rFonts w:cstheme="minorHAnsi"/>
          <w:sz w:val="20"/>
          <w:szCs w:val="20"/>
        </w:rPr>
        <w:t xml:space="preserve"> v provozní koncepci, která je uvedena v příloze </w:t>
      </w:r>
      <w:r w:rsidR="00F747BC" w:rsidRPr="00781ACF">
        <w:rPr>
          <w:rFonts w:cstheme="minorHAnsi"/>
          <w:sz w:val="20"/>
          <w:szCs w:val="20"/>
        </w:rPr>
        <w:t xml:space="preserve">č. </w:t>
      </w:r>
      <w:r w:rsidR="00386AB8" w:rsidRPr="00F5005D">
        <w:rPr>
          <w:rFonts w:cstheme="minorHAnsi"/>
          <w:sz w:val="20"/>
          <w:szCs w:val="20"/>
        </w:rPr>
        <w:t>12</w:t>
      </w:r>
      <w:r w:rsidR="00D9618D" w:rsidRPr="00F5005D">
        <w:rPr>
          <w:rFonts w:cstheme="minorHAnsi"/>
          <w:sz w:val="20"/>
          <w:szCs w:val="20"/>
        </w:rPr>
        <w:t>A</w:t>
      </w:r>
      <w:r w:rsidR="00803370" w:rsidRPr="00F5005D">
        <w:rPr>
          <w:rFonts w:cstheme="minorHAnsi"/>
          <w:sz w:val="20"/>
          <w:szCs w:val="20"/>
        </w:rPr>
        <w:t xml:space="preserve"> této Smlouvy</w:t>
      </w:r>
      <w:r w:rsidR="00D9618D" w:rsidRPr="00F5005D">
        <w:rPr>
          <w:rFonts w:cstheme="minorHAnsi"/>
          <w:sz w:val="20"/>
          <w:szCs w:val="20"/>
        </w:rPr>
        <w:t xml:space="preserve">. </w:t>
      </w:r>
      <w:r w:rsidR="00181D83">
        <w:rPr>
          <w:rFonts w:cstheme="minorHAnsi"/>
          <w:sz w:val="20"/>
          <w:szCs w:val="20"/>
        </w:rPr>
        <w:t>V této příloze je rovněž uvedeno</w:t>
      </w:r>
      <w:r w:rsidR="00F747BC" w:rsidRPr="00F5005D">
        <w:rPr>
          <w:rFonts w:cstheme="minorHAnsi"/>
          <w:sz w:val="20"/>
          <w:szCs w:val="20"/>
        </w:rPr>
        <w:t xml:space="preserve">, </w:t>
      </w:r>
      <w:r w:rsidR="00FB3B7D" w:rsidRPr="00F5005D">
        <w:rPr>
          <w:rFonts w:cstheme="minorHAnsi"/>
          <w:sz w:val="20"/>
          <w:szCs w:val="20"/>
        </w:rPr>
        <w:t>v jakých stanicích</w:t>
      </w:r>
      <w:r>
        <w:rPr>
          <w:rFonts w:cstheme="minorHAnsi"/>
          <w:sz w:val="20"/>
          <w:szCs w:val="20"/>
        </w:rPr>
        <w:t xml:space="preserve"> se předpokládá zastavení vlaků</w:t>
      </w:r>
      <w:r w:rsidR="00F747BC" w:rsidRPr="00781ACF">
        <w:rPr>
          <w:rFonts w:cstheme="minorHAnsi"/>
          <w:sz w:val="20"/>
          <w:szCs w:val="20"/>
        </w:rPr>
        <w:t>.</w:t>
      </w:r>
    </w:p>
    <w:p w14:paraId="2929DDB1" w14:textId="44CED719" w:rsidR="00742152" w:rsidRPr="00FB3B7D" w:rsidRDefault="00742152" w:rsidP="00A53F63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781ACF">
        <w:rPr>
          <w:rFonts w:cstheme="minorHAnsi"/>
          <w:sz w:val="20"/>
          <w:szCs w:val="20"/>
        </w:rPr>
        <w:t xml:space="preserve">Tyto dodatečné Dopravní výkony představují dodatečný Průměrný denní dopravní </w:t>
      </w:r>
      <w:r w:rsidRPr="00B43884">
        <w:rPr>
          <w:rFonts w:cstheme="minorHAnsi"/>
          <w:sz w:val="20"/>
          <w:szCs w:val="20"/>
        </w:rPr>
        <w:t>výkon ve</w:t>
      </w:r>
      <w:r w:rsidR="00971B18">
        <w:rPr>
          <w:rFonts w:cstheme="minorHAnsi"/>
          <w:sz w:val="20"/>
          <w:szCs w:val="20"/>
        </w:rPr>
        <w:t> </w:t>
      </w:r>
      <w:r w:rsidRPr="00B43884">
        <w:rPr>
          <w:rFonts w:cstheme="minorHAnsi"/>
          <w:sz w:val="20"/>
          <w:szCs w:val="20"/>
        </w:rPr>
        <w:t>výši</w:t>
      </w:r>
      <w:r w:rsidR="00803370" w:rsidRPr="00B43884">
        <w:rPr>
          <w:rFonts w:cstheme="minorHAnsi"/>
          <w:sz w:val="20"/>
          <w:szCs w:val="20"/>
        </w:rPr>
        <w:t xml:space="preserve"> </w:t>
      </w:r>
      <w:r w:rsidR="00971B18">
        <w:rPr>
          <w:rFonts w:cstheme="minorHAnsi"/>
          <w:sz w:val="20"/>
          <w:szCs w:val="20"/>
        </w:rPr>
        <w:t>1974,8</w:t>
      </w:r>
      <w:r w:rsidR="00A64480" w:rsidRPr="00B43884">
        <w:rPr>
          <w:rFonts w:cstheme="minorHAnsi"/>
          <w:sz w:val="20"/>
          <w:szCs w:val="20"/>
        </w:rPr>
        <w:t> </w:t>
      </w:r>
      <w:r w:rsidRPr="00B43884">
        <w:rPr>
          <w:rFonts w:cstheme="minorHAnsi"/>
          <w:sz w:val="20"/>
          <w:szCs w:val="20"/>
        </w:rPr>
        <w:t>vlkm.</w:t>
      </w:r>
      <w:r w:rsidRPr="00781ACF">
        <w:rPr>
          <w:rFonts w:cstheme="minorHAnsi"/>
          <w:sz w:val="20"/>
          <w:szCs w:val="20"/>
        </w:rPr>
        <w:t xml:space="preserve"> V případě aktivace tohoto dodatku budou připojeny k Dopravním výkonům stanoveným </w:t>
      </w:r>
      <w:r w:rsidR="005E1B67">
        <w:rPr>
          <w:rFonts w:cstheme="minorHAnsi"/>
          <w:sz w:val="20"/>
          <w:szCs w:val="20"/>
        </w:rPr>
        <w:t xml:space="preserve">podle </w:t>
      </w:r>
      <w:r w:rsidRPr="00781ACF">
        <w:rPr>
          <w:rFonts w:cstheme="minorHAnsi"/>
          <w:sz w:val="20"/>
          <w:szCs w:val="20"/>
        </w:rPr>
        <w:t xml:space="preserve">článku 4 Smlouvy. </w:t>
      </w:r>
      <w:r w:rsidRPr="00FB3B7D">
        <w:rPr>
          <w:rFonts w:cstheme="minorHAnsi"/>
          <w:sz w:val="20"/>
          <w:szCs w:val="20"/>
        </w:rPr>
        <w:t xml:space="preserve">Pro změny rozsahu Dopravních výkonů </w:t>
      </w:r>
      <w:r w:rsidR="005E1B67">
        <w:rPr>
          <w:rFonts w:cstheme="minorHAnsi"/>
          <w:sz w:val="20"/>
          <w:szCs w:val="20"/>
        </w:rPr>
        <w:t xml:space="preserve">na lince </w:t>
      </w:r>
      <w:r w:rsidR="00B25FFC">
        <w:rPr>
          <w:rFonts w:cstheme="minorHAnsi"/>
          <w:sz w:val="20"/>
          <w:szCs w:val="20"/>
        </w:rPr>
        <w:t>R29</w:t>
      </w:r>
      <w:r w:rsidR="005E1B67">
        <w:rPr>
          <w:rFonts w:cstheme="minorHAnsi"/>
          <w:sz w:val="20"/>
          <w:szCs w:val="20"/>
        </w:rPr>
        <w:t xml:space="preserve"> </w:t>
      </w:r>
      <w:r w:rsidRPr="00FB3B7D">
        <w:rPr>
          <w:rFonts w:cstheme="minorHAnsi"/>
          <w:sz w:val="20"/>
          <w:szCs w:val="20"/>
        </w:rPr>
        <w:t xml:space="preserve">se použijí pravidla podle článku 7 této Smlouvy obdobně. </w:t>
      </w:r>
    </w:p>
    <w:p w14:paraId="6B18393C" w14:textId="77777777" w:rsidR="00D9618D" w:rsidRPr="00781ACF" w:rsidRDefault="00D9618D" w:rsidP="00A53F63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1B589F12" w14:textId="4933D8EC" w:rsidR="00F747BC" w:rsidRPr="00781ACF" w:rsidRDefault="00F747BC" w:rsidP="00A53F63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781ACF">
        <w:rPr>
          <w:rFonts w:cstheme="minorHAnsi"/>
          <w:b/>
          <w:caps/>
          <w:sz w:val="20"/>
          <w:szCs w:val="20"/>
        </w:rPr>
        <w:t xml:space="preserve">Článek </w:t>
      </w:r>
      <w:r w:rsidR="00A54234">
        <w:rPr>
          <w:rFonts w:cstheme="minorHAnsi"/>
          <w:b/>
          <w:caps/>
          <w:sz w:val="20"/>
          <w:szCs w:val="20"/>
        </w:rPr>
        <w:t>3</w:t>
      </w:r>
    </w:p>
    <w:p w14:paraId="31DB3B26" w14:textId="79E6A46F" w:rsidR="00F747BC" w:rsidRPr="00781ACF" w:rsidRDefault="00695485" w:rsidP="00A53F63">
      <w:pPr>
        <w:spacing w:after="12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781ACF">
        <w:rPr>
          <w:rFonts w:cstheme="minorHAnsi"/>
          <w:b/>
          <w:caps/>
          <w:sz w:val="20"/>
          <w:szCs w:val="20"/>
        </w:rPr>
        <w:t>kompenzace za rozšířené doPR</w:t>
      </w:r>
      <w:r w:rsidR="00F747BC" w:rsidRPr="00781ACF">
        <w:rPr>
          <w:rFonts w:cstheme="minorHAnsi"/>
          <w:b/>
          <w:caps/>
          <w:sz w:val="20"/>
          <w:szCs w:val="20"/>
        </w:rPr>
        <w:t>avní výkony</w:t>
      </w:r>
    </w:p>
    <w:p w14:paraId="4278F0D4" w14:textId="168D7E38" w:rsidR="00F747BC" w:rsidRPr="00111E6E" w:rsidRDefault="00F747BC" w:rsidP="00A53F63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781ACF">
        <w:rPr>
          <w:rFonts w:cstheme="minorHAnsi"/>
          <w:sz w:val="20"/>
          <w:szCs w:val="20"/>
        </w:rPr>
        <w:t>Za provoz dodatečné části Dopravních výkon</w:t>
      </w:r>
      <w:r w:rsidR="005E1B67">
        <w:rPr>
          <w:rFonts w:cstheme="minorHAnsi"/>
          <w:sz w:val="20"/>
          <w:szCs w:val="20"/>
        </w:rPr>
        <w:t xml:space="preserve">ů za linku </w:t>
      </w:r>
      <w:r w:rsidR="00B25FFC">
        <w:rPr>
          <w:rFonts w:cstheme="minorHAnsi"/>
          <w:sz w:val="20"/>
          <w:szCs w:val="20"/>
        </w:rPr>
        <w:t>R29</w:t>
      </w:r>
      <w:r w:rsidR="005E1B67">
        <w:rPr>
          <w:rFonts w:cstheme="minorHAnsi"/>
          <w:sz w:val="20"/>
          <w:szCs w:val="20"/>
        </w:rPr>
        <w:t xml:space="preserve"> </w:t>
      </w:r>
      <w:r w:rsidRPr="00781ACF">
        <w:rPr>
          <w:rFonts w:cstheme="minorHAnsi"/>
          <w:sz w:val="20"/>
          <w:szCs w:val="20"/>
        </w:rPr>
        <w:t xml:space="preserve">se kompenzace stanoví </w:t>
      </w:r>
      <w:r w:rsidRPr="00F5005D">
        <w:rPr>
          <w:rFonts w:cstheme="minorHAnsi"/>
          <w:sz w:val="20"/>
          <w:szCs w:val="20"/>
        </w:rPr>
        <w:t>ve</w:t>
      </w:r>
      <w:r w:rsidR="0085708A" w:rsidRPr="00F5005D">
        <w:rPr>
          <w:rFonts w:cstheme="minorHAnsi"/>
          <w:sz w:val="20"/>
          <w:szCs w:val="20"/>
        </w:rPr>
        <w:t> </w:t>
      </w:r>
      <w:r w:rsidRPr="00F5005D">
        <w:rPr>
          <w:rFonts w:cstheme="minorHAnsi"/>
          <w:sz w:val="20"/>
          <w:szCs w:val="20"/>
        </w:rPr>
        <w:t>výši [</w:t>
      </w:r>
      <w:r w:rsidRPr="00F5005D">
        <w:rPr>
          <w:rFonts w:cstheme="minorHAnsi"/>
          <w:sz w:val="20"/>
          <w:szCs w:val="20"/>
          <w:highlight w:val="yellow"/>
          <w:shd w:val="clear" w:color="auto" w:fill="FFFF00"/>
        </w:rPr>
        <w:t>doplní se</w:t>
      </w:r>
      <w:r w:rsidR="00111E6E" w:rsidRPr="00F5005D">
        <w:rPr>
          <w:rFonts w:cstheme="minorHAnsi"/>
          <w:sz w:val="20"/>
          <w:szCs w:val="20"/>
          <w:shd w:val="clear" w:color="auto" w:fill="FFFF00"/>
        </w:rPr>
        <w:t xml:space="preserve"> hodnota z řádku 23 sloupce B přílohy č. 12B této Smlouvy</w:t>
      </w:r>
      <w:r w:rsidRPr="00F5005D">
        <w:rPr>
          <w:rFonts w:cstheme="minorHAnsi"/>
          <w:sz w:val="20"/>
          <w:szCs w:val="20"/>
        </w:rPr>
        <w:t>] Kč/vlkm, tedy [</w:t>
      </w:r>
      <w:r w:rsidRPr="00F5005D">
        <w:rPr>
          <w:rFonts w:cstheme="minorHAnsi"/>
          <w:sz w:val="20"/>
          <w:szCs w:val="20"/>
          <w:highlight w:val="yellow"/>
          <w:shd w:val="clear" w:color="auto" w:fill="FFFF00"/>
        </w:rPr>
        <w:t>doplní se</w:t>
      </w:r>
      <w:r w:rsidR="00111E6E" w:rsidRPr="00F5005D">
        <w:rPr>
          <w:rFonts w:cstheme="minorHAnsi"/>
          <w:sz w:val="20"/>
          <w:szCs w:val="20"/>
          <w:shd w:val="clear" w:color="auto" w:fill="FFFF00"/>
        </w:rPr>
        <w:t xml:space="preserve"> hodnota z řádku 23 sloupce A přílohy č. 12B této Smlouvy</w:t>
      </w:r>
      <w:r w:rsidRPr="00F5005D">
        <w:rPr>
          <w:rFonts w:cstheme="minorHAnsi"/>
          <w:sz w:val="20"/>
          <w:szCs w:val="20"/>
        </w:rPr>
        <w:t>]</w:t>
      </w:r>
      <w:r w:rsidR="00111E6E" w:rsidRPr="00F5005D">
        <w:rPr>
          <w:rFonts w:cstheme="minorHAnsi"/>
          <w:sz w:val="20"/>
          <w:szCs w:val="20"/>
        </w:rPr>
        <w:t xml:space="preserve"> Kč</w:t>
      </w:r>
      <w:r w:rsidRPr="00F5005D">
        <w:rPr>
          <w:rFonts w:cstheme="minorHAnsi"/>
          <w:sz w:val="20"/>
          <w:szCs w:val="20"/>
        </w:rPr>
        <w:t xml:space="preserve"> za provozování </w:t>
      </w:r>
      <w:r w:rsidR="00D31DE5" w:rsidRPr="00F5005D">
        <w:rPr>
          <w:rFonts w:cstheme="minorHAnsi"/>
          <w:sz w:val="20"/>
          <w:szCs w:val="20"/>
        </w:rPr>
        <w:t>všech vlaků zajišťujících</w:t>
      </w:r>
      <w:r w:rsidRPr="00F5005D">
        <w:rPr>
          <w:rFonts w:cstheme="minorHAnsi"/>
          <w:sz w:val="20"/>
          <w:szCs w:val="20"/>
        </w:rPr>
        <w:t xml:space="preserve"> Průměrný denní dopravní výkon</w:t>
      </w:r>
      <w:r w:rsidR="00D31DE5" w:rsidRPr="00F5005D">
        <w:rPr>
          <w:rFonts w:cstheme="minorHAnsi"/>
          <w:sz w:val="20"/>
          <w:szCs w:val="20"/>
        </w:rPr>
        <w:t xml:space="preserve"> za období jednoho průměrného kalendářního dne</w:t>
      </w:r>
      <w:r w:rsidRPr="00F5005D">
        <w:rPr>
          <w:rFonts w:cstheme="minorHAnsi"/>
          <w:sz w:val="20"/>
          <w:szCs w:val="20"/>
        </w:rPr>
        <w:t xml:space="preserve">. </w:t>
      </w:r>
      <w:r w:rsidR="0085708A" w:rsidRPr="00F5005D">
        <w:rPr>
          <w:rFonts w:cstheme="minorHAnsi"/>
          <w:sz w:val="20"/>
          <w:szCs w:val="20"/>
        </w:rPr>
        <w:t xml:space="preserve">Výchozí finanční model pro dodatečnou kompenzaci Dopravce uvede v tabulce nákladů a výnosů, </w:t>
      </w:r>
      <w:r w:rsidR="00D35D45" w:rsidRPr="00F5005D">
        <w:rPr>
          <w:rFonts w:cstheme="minorHAnsi"/>
          <w:sz w:val="20"/>
          <w:szCs w:val="20"/>
        </w:rPr>
        <w:t>která je uvedena v příloze č.</w:t>
      </w:r>
      <w:r w:rsidR="00111E6E" w:rsidRPr="00F5005D">
        <w:rPr>
          <w:rFonts w:cstheme="minorHAnsi"/>
          <w:sz w:val="20"/>
          <w:szCs w:val="20"/>
        </w:rPr>
        <w:t> </w:t>
      </w:r>
      <w:r w:rsidR="00D35D45" w:rsidRPr="00F5005D">
        <w:rPr>
          <w:rFonts w:cstheme="minorHAnsi"/>
          <w:sz w:val="20"/>
          <w:szCs w:val="20"/>
        </w:rPr>
        <w:t>12</w:t>
      </w:r>
      <w:r w:rsidR="0085708A" w:rsidRPr="00F5005D">
        <w:rPr>
          <w:rFonts w:cstheme="minorHAnsi"/>
          <w:sz w:val="20"/>
          <w:szCs w:val="20"/>
        </w:rPr>
        <w:t>B</w:t>
      </w:r>
      <w:r w:rsidR="00E83BAE" w:rsidRPr="00F5005D">
        <w:rPr>
          <w:rFonts w:cstheme="minorHAnsi"/>
          <w:sz w:val="20"/>
          <w:szCs w:val="20"/>
        </w:rPr>
        <w:t xml:space="preserve"> této Smlouvy</w:t>
      </w:r>
      <w:r w:rsidR="0085708A" w:rsidRPr="00F5005D">
        <w:rPr>
          <w:rFonts w:cstheme="minorHAnsi"/>
          <w:sz w:val="20"/>
          <w:szCs w:val="20"/>
        </w:rPr>
        <w:t>.</w:t>
      </w:r>
      <w:r w:rsidR="00111E6E" w:rsidRPr="00F5005D">
        <w:rPr>
          <w:rFonts w:cstheme="minorHAnsi"/>
          <w:sz w:val="20"/>
          <w:szCs w:val="20"/>
        </w:rPr>
        <w:t xml:space="preserve"> </w:t>
      </w:r>
      <w:r w:rsidRPr="00F5005D">
        <w:rPr>
          <w:rFonts w:cstheme="minorHAnsi"/>
          <w:sz w:val="20"/>
          <w:szCs w:val="20"/>
        </w:rPr>
        <w:t xml:space="preserve">V případě </w:t>
      </w:r>
      <w:r w:rsidR="00E83BAE" w:rsidRPr="00F5005D">
        <w:rPr>
          <w:rFonts w:cstheme="minorHAnsi"/>
          <w:sz w:val="20"/>
          <w:szCs w:val="20"/>
        </w:rPr>
        <w:t xml:space="preserve">oznámení </w:t>
      </w:r>
      <w:r w:rsidRPr="00F5005D">
        <w:rPr>
          <w:rFonts w:cstheme="minorHAnsi"/>
          <w:sz w:val="20"/>
          <w:szCs w:val="20"/>
        </w:rPr>
        <w:t>podle článku 1 se uvedená částka</w:t>
      </w:r>
      <w:r w:rsidR="00695485" w:rsidRPr="00F5005D">
        <w:rPr>
          <w:rFonts w:cstheme="minorHAnsi"/>
          <w:sz w:val="20"/>
          <w:szCs w:val="20"/>
        </w:rPr>
        <w:t xml:space="preserve"> </w:t>
      </w:r>
      <w:r w:rsidR="00111E6E" w:rsidRPr="00F5005D">
        <w:rPr>
          <w:rFonts w:cstheme="minorHAnsi"/>
          <w:sz w:val="20"/>
          <w:szCs w:val="20"/>
        </w:rPr>
        <w:t>za Průměrný denní dopravní výkon v Kč</w:t>
      </w:r>
      <w:r w:rsidR="00D31DE5" w:rsidRPr="00F5005D">
        <w:rPr>
          <w:rFonts w:cstheme="minorHAnsi"/>
          <w:sz w:val="20"/>
          <w:szCs w:val="20"/>
        </w:rPr>
        <w:t xml:space="preserve"> </w:t>
      </w:r>
      <w:r w:rsidR="00695485" w:rsidRPr="00F5005D">
        <w:rPr>
          <w:rFonts w:cstheme="minorHAnsi"/>
          <w:sz w:val="20"/>
          <w:szCs w:val="20"/>
        </w:rPr>
        <w:t xml:space="preserve">vynásobí počtem </w:t>
      </w:r>
      <w:r w:rsidR="00111E6E" w:rsidRPr="00F5005D">
        <w:rPr>
          <w:rFonts w:cstheme="minorHAnsi"/>
          <w:sz w:val="20"/>
          <w:szCs w:val="20"/>
        </w:rPr>
        <w:t xml:space="preserve">kalendářních dnů </w:t>
      </w:r>
      <w:r w:rsidR="00D31DE5" w:rsidRPr="00F5005D">
        <w:rPr>
          <w:rFonts w:cstheme="minorHAnsi"/>
          <w:sz w:val="20"/>
          <w:szCs w:val="20"/>
        </w:rPr>
        <w:t>v daném O</w:t>
      </w:r>
      <w:r w:rsidR="00695485" w:rsidRPr="00F5005D">
        <w:rPr>
          <w:rFonts w:cstheme="minorHAnsi"/>
          <w:sz w:val="20"/>
          <w:szCs w:val="20"/>
        </w:rPr>
        <w:t>bdobí provozu a</w:t>
      </w:r>
      <w:r w:rsidRPr="00F5005D">
        <w:rPr>
          <w:rFonts w:cstheme="minorHAnsi"/>
          <w:sz w:val="20"/>
          <w:szCs w:val="20"/>
        </w:rPr>
        <w:t xml:space="preserve"> připočte ke kompenzaci stanovené </w:t>
      </w:r>
      <w:r w:rsidRPr="00111E6E">
        <w:rPr>
          <w:rFonts w:cstheme="minorHAnsi"/>
          <w:sz w:val="20"/>
          <w:szCs w:val="20"/>
        </w:rPr>
        <w:t>podle této Smlouv</w:t>
      </w:r>
      <w:r w:rsidR="00D31DE5" w:rsidRPr="00111E6E">
        <w:rPr>
          <w:rFonts w:cstheme="minorHAnsi"/>
          <w:sz w:val="20"/>
          <w:szCs w:val="20"/>
        </w:rPr>
        <w:t>y.</w:t>
      </w:r>
    </w:p>
    <w:p w14:paraId="34BBCE8E" w14:textId="688890A5" w:rsidR="00F747BC" w:rsidRDefault="00F747BC" w:rsidP="00A53F63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781ACF">
        <w:rPr>
          <w:rFonts w:cstheme="minorHAnsi"/>
          <w:sz w:val="20"/>
          <w:szCs w:val="20"/>
        </w:rPr>
        <w:t xml:space="preserve">Tuto částku Dopravce </w:t>
      </w:r>
      <w:r w:rsidR="00512F39" w:rsidRPr="00C21B37">
        <w:rPr>
          <w:rFonts w:cstheme="minorHAnsi"/>
          <w:sz w:val="20"/>
          <w:szCs w:val="20"/>
        </w:rPr>
        <w:t xml:space="preserve">předkládá v cenové úrovni roku </w:t>
      </w:r>
      <w:r w:rsidR="00306D33">
        <w:rPr>
          <w:rFonts w:cstheme="minorHAnsi"/>
          <w:sz w:val="20"/>
          <w:szCs w:val="20"/>
        </w:rPr>
        <w:t>202</w:t>
      </w:r>
      <w:r w:rsidR="00181D83">
        <w:rPr>
          <w:rFonts w:cstheme="minorHAnsi"/>
          <w:sz w:val="20"/>
          <w:szCs w:val="20"/>
        </w:rPr>
        <w:t>5</w:t>
      </w:r>
      <w:r w:rsidRPr="00C21B37">
        <w:rPr>
          <w:rFonts w:cstheme="minorHAnsi"/>
          <w:sz w:val="20"/>
          <w:szCs w:val="20"/>
        </w:rPr>
        <w:t xml:space="preserve">. Valorizace </w:t>
      </w:r>
      <w:r w:rsidR="0085708A" w:rsidRPr="00C21B37">
        <w:rPr>
          <w:rFonts w:cstheme="minorHAnsi"/>
          <w:sz w:val="20"/>
          <w:szCs w:val="20"/>
        </w:rPr>
        <w:t xml:space="preserve">finančního modelu po zahrnutí dodatečných částek v jednotlivých řádcích podle přílohy </w:t>
      </w:r>
      <w:r w:rsidR="00181D83">
        <w:rPr>
          <w:rFonts w:cstheme="minorHAnsi"/>
          <w:sz w:val="20"/>
          <w:szCs w:val="20"/>
        </w:rPr>
        <w:t>č. </w:t>
      </w:r>
      <w:r w:rsidR="0085708A" w:rsidRPr="00C21B37">
        <w:rPr>
          <w:rFonts w:cstheme="minorHAnsi"/>
          <w:sz w:val="20"/>
          <w:szCs w:val="20"/>
        </w:rPr>
        <w:t>1</w:t>
      </w:r>
      <w:r w:rsidR="00D35D45" w:rsidRPr="00C21B37">
        <w:rPr>
          <w:rFonts w:cstheme="minorHAnsi"/>
          <w:sz w:val="20"/>
          <w:szCs w:val="20"/>
        </w:rPr>
        <w:t>2</w:t>
      </w:r>
      <w:r w:rsidR="0085708A" w:rsidRPr="00C21B37">
        <w:rPr>
          <w:rFonts w:cstheme="minorHAnsi"/>
          <w:sz w:val="20"/>
          <w:szCs w:val="20"/>
        </w:rPr>
        <w:t xml:space="preserve">B </w:t>
      </w:r>
      <w:r w:rsidRPr="00C21B37">
        <w:rPr>
          <w:rFonts w:cstheme="minorHAnsi"/>
          <w:sz w:val="20"/>
          <w:szCs w:val="20"/>
        </w:rPr>
        <w:t xml:space="preserve">bude probíhat </w:t>
      </w:r>
      <w:r w:rsidR="00181D83" w:rsidRPr="00C21B37">
        <w:rPr>
          <w:rFonts w:cstheme="minorHAnsi"/>
          <w:sz w:val="20"/>
          <w:szCs w:val="20"/>
        </w:rPr>
        <w:t>samostatně,</w:t>
      </w:r>
      <w:r w:rsidR="00A54234">
        <w:rPr>
          <w:rFonts w:cstheme="minorHAnsi"/>
          <w:sz w:val="20"/>
          <w:szCs w:val="20"/>
        </w:rPr>
        <w:t xml:space="preserve"> </w:t>
      </w:r>
      <w:r w:rsidR="00111E6E" w:rsidRPr="00C21B37">
        <w:rPr>
          <w:rFonts w:cstheme="minorHAnsi"/>
          <w:sz w:val="20"/>
          <w:szCs w:val="20"/>
        </w:rPr>
        <w:t xml:space="preserve">a to </w:t>
      </w:r>
      <w:r w:rsidRPr="00C21B37">
        <w:rPr>
          <w:rFonts w:cstheme="minorHAnsi"/>
          <w:sz w:val="20"/>
          <w:szCs w:val="20"/>
        </w:rPr>
        <w:t>podle pravidel uvedených v článku 8 této Smlouvy</w:t>
      </w:r>
      <w:r w:rsidR="00111E6E" w:rsidRPr="00C21B37">
        <w:rPr>
          <w:rFonts w:cstheme="minorHAnsi"/>
          <w:sz w:val="20"/>
          <w:szCs w:val="20"/>
        </w:rPr>
        <w:t xml:space="preserve"> obdobně</w:t>
      </w:r>
      <w:r w:rsidRPr="00C21B37">
        <w:rPr>
          <w:rFonts w:cstheme="minorHAnsi"/>
          <w:sz w:val="20"/>
          <w:szCs w:val="20"/>
        </w:rPr>
        <w:t>.</w:t>
      </w:r>
    </w:p>
    <w:p w14:paraId="7B4DA957" w14:textId="1F54B4B6" w:rsidR="00A54234" w:rsidRPr="00A54234" w:rsidRDefault="00A54234" w:rsidP="00A53F63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A54234">
        <w:rPr>
          <w:rFonts w:cstheme="minorHAnsi"/>
          <w:sz w:val="20"/>
          <w:szCs w:val="20"/>
        </w:rPr>
        <w:lastRenderedPageBreak/>
        <w:t>Dopravce předá za Období provozu Objednateli výkaz, obsahující sk</w:t>
      </w:r>
      <w:r>
        <w:rPr>
          <w:rFonts w:cstheme="minorHAnsi"/>
          <w:sz w:val="20"/>
          <w:szCs w:val="20"/>
        </w:rPr>
        <w:t>utečně dosaženou výši nákladů a </w:t>
      </w:r>
      <w:r w:rsidRPr="00A54234">
        <w:rPr>
          <w:rFonts w:cstheme="minorHAnsi"/>
          <w:sz w:val="20"/>
          <w:szCs w:val="20"/>
        </w:rPr>
        <w:t>výnosů, zpracovaný ve st</w:t>
      </w:r>
      <w:r>
        <w:rPr>
          <w:rFonts w:cstheme="minorHAnsi"/>
          <w:sz w:val="20"/>
          <w:szCs w:val="20"/>
        </w:rPr>
        <w:t>ruktuře stanovené v příloze č. 12C</w:t>
      </w:r>
      <w:r w:rsidRPr="00A54234">
        <w:rPr>
          <w:rFonts w:cstheme="minorHAnsi"/>
          <w:sz w:val="20"/>
          <w:szCs w:val="20"/>
        </w:rPr>
        <w:t xml:space="preserve">, a to nejpozději do tří měsíců od skončení Období provozu. </w:t>
      </w:r>
      <w:r>
        <w:rPr>
          <w:rFonts w:cstheme="minorHAnsi"/>
          <w:sz w:val="20"/>
          <w:szCs w:val="20"/>
        </w:rPr>
        <w:t xml:space="preserve">Pravidla a postupy pro nakládání s přílohou č. 12C se řídí ustanoveními pro přílohu č. 6 této Smlouvy. </w:t>
      </w:r>
      <w:r w:rsidRPr="00A54234">
        <w:rPr>
          <w:rFonts w:cstheme="minorHAnsi"/>
          <w:sz w:val="20"/>
          <w:szCs w:val="20"/>
        </w:rPr>
        <w:t>Není-li výslovně této Smlouvě uvedeno jinak, skutečnosti uvedené v tomto výkazu nejsou důvodem pro valorizaci kompenzace.</w:t>
      </w:r>
    </w:p>
    <w:p w14:paraId="484CFE43" w14:textId="77777777" w:rsidR="007F613E" w:rsidRPr="00781ACF" w:rsidRDefault="007F613E" w:rsidP="00A53F63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4CC31D11" w14:textId="58FC6294" w:rsidR="00695485" w:rsidRPr="00781ACF" w:rsidRDefault="00695485" w:rsidP="00A53F63">
      <w:pPr>
        <w:keepNext/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781ACF">
        <w:rPr>
          <w:rFonts w:cstheme="minorHAnsi"/>
          <w:b/>
          <w:caps/>
          <w:sz w:val="20"/>
          <w:szCs w:val="20"/>
        </w:rPr>
        <w:t xml:space="preserve">Článek </w:t>
      </w:r>
      <w:r w:rsidR="00A54234">
        <w:rPr>
          <w:rFonts w:cstheme="minorHAnsi"/>
          <w:b/>
          <w:caps/>
          <w:sz w:val="20"/>
          <w:szCs w:val="20"/>
        </w:rPr>
        <w:t>4</w:t>
      </w:r>
    </w:p>
    <w:p w14:paraId="743EEF03" w14:textId="77777777" w:rsidR="00695485" w:rsidRPr="00781ACF" w:rsidRDefault="00695485" w:rsidP="00A53F63">
      <w:pPr>
        <w:keepNext/>
        <w:spacing w:after="12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781ACF">
        <w:rPr>
          <w:rFonts w:cstheme="minorHAnsi"/>
          <w:b/>
          <w:caps/>
          <w:sz w:val="20"/>
          <w:szCs w:val="20"/>
        </w:rPr>
        <w:t xml:space="preserve">kvalita rozšířených </w:t>
      </w:r>
      <w:r w:rsidR="00FB3B7D">
        <w:rPr>
          <w:rFonts w:cstheme="minorHAnsi"/>
          <w:b/>
          <w:caps/>
          <w:sz w:val="20"/>
          <w:szCs w:val="20"/>
        </w:rPr>
        <w:t>veřejných služeb</w:t>
      </w:r>
    </w:p>
    <w:p w14:paraId="2D643E20" w14:textId="568AAF22" w:rsidR="00695485" w:rsidRPr="00C21B37" w:rsidRDefault="00FB3B7D" w:rsidP="00A53F63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 kvalitu rozšířených Veřejných služeb v přepravě cestujících</w:t>
      </w:r>
      <w:r w:rsidR="00695485" w:rsidRPr="00781ACF">
        <w:rPr>
          <w:rFonts w:cstheme="minorHAnsi"/>
          <w:sz w:val="20"/>
          <w:szCs w:val="20"/>
        </w:rPr>
        <w:t>, zajišťujících rozš</w:t>
      </w:r>
      <w:r w:rsidR="00781ACF">
        <w:rPr>
          <w:rFonts w:cstheme="minorHAnsi"/>
          <w:sz w:val="20"/>
          <w:szCs w:val="20"/>
        </w:rPr>
        <w:t>ířené</w:t>
      </w:r>
      <w:r w:rsidR="00695485" w:rsidRPr="00781ACF">
        <w:rPr>
          <w:rFonts w:cstheme="minorHAnsi"/>
          <w:sz w:val="20"/>
          <w:szCs w:val="20"/>
        </w:rPr>
        <w:t xml:space="preserve"> Dopravní výkony</w:t>
      </w:r>
      <w:r w:rsidR="00781ACF">
        <w:rPr>
          <w:rFonts w:cstheme="minorHAnsi"/>
          <w:sz w:val="20"/>
          <w:szCs w:val="20"/>
        </w:rPr>
        <w:t>,</w:t>
      </w:r>
      <w:r w:rsidR="00617516">
        <w:rPr>
          <w:rFonts w:cstheme="minorHAnsi"/>
          <w:sz w:val="20"/>
          <w:szCs w:val="20"/>
        </w:rPr>
        <w:t xml:space="preserve"> a poskytování staničních služeb</w:t>
      </w:r>
      <w:r w:rsidR="00695485" w:rsidRPr="00781ACF">
        <w:rPr>
          <w:rFonts w:cstheme="minorHAnsi"/>
          <w:sz w:val="20"/>
          <w:szCs w:val="20"/>
        </w:rPr>
        <w:t xml:space="preserve"> platí pravidla uvedená </w:t>
      </w:r>
      <w:r w:rsidR="0085708A" w:rsidRPr="00781ACF">
        <w:rPr>
          <w:rFonts w:cstheme="minorHAnsi"/>
          <w:sz w:val="20"/>
          <w:szCs w:val="20"/>
        </w:rPr>
        <w:t>této Smlouvě obdobně. T</w:t>
      </w:r>
      <w:r w:rsidR="00695485" w:rsidRPr="00781ACF">
        <w:rPr>
          <w:rFonts w:cstheme="minorHAnsi"/>
          <w:sz w:val="20"/>
          <w:szCs w:val="20"/>
        </w:rPr>
        <w:t>o se t</w:t>
      </w:r>
      <w:r w:rsidR="00D31DE5" w:rsidRPr="00781ACF">
        <w:rPr>
          <w:rFonts w:cstheme="minorHAnsi"/>
          <w:sz w:val="20"/>
          <w:szCs w:val="20"/>
        </w:rPr>
        <w:t xml:space="preserve">ýká například </w:t>
      </w:r>
      <w:r w:rsidR="0085708A" w:rsidRPr="00781ACF">
        <w:rPr>
          <w:rFonts w:cstheme="minorHAnsi"/>
          <w:sz w:val="20"/>
          <w:szCs w:val="20"/>
        </w:rPr>
        <w:t>tarifních podmínek, podmínek</w:t>
      </w:r>
      <w:r w:rsidR="00695485" w:rsidRPr="00781ACF">
        <w:rPr>
          <w:rFonts w:cstheme="minorHAnsi"/>
          <w:sz w:val="20"/>
          <w:szCs w:val="20"/>
        </w:rPr>
        <w:t xml:space="preserve"> kvality zajišťování dopravních výkonů podle této Smlouvy, jakož i požadavků kladených na vozidla podle přílohy č.</w:t>
      </w:r>
      <w:r>
        <w:rPr>
          <w:rFonts w:cstheme="minorHAnsi"/>
          <w:sz w:val="20"/>
          <w:szCs w:val="20"/>
        </w:rPr>
        <w:t> </w:t>
      </w:r>
      <w:r w:rsidR="00695485" w:rsidRPr="00781ACF">
        <w:rPr>
          <w:rFonts w:cstheme="minorHAnsi"/>
          <w:sz w:val="20"/>
          <w:szCs w:val="20"/>
        </w:rPr>
        <w:t>7</w:t>
      </w:r>
      <w:r w:rsidR="003E6642">
        <w:rPr>
          <w:rFonts w:cstheme="minorHAnsi"/>
          <w:sz w:val="20"/>
          <w:szCs w:val="20"/>
        </w:rPr>
        <w:t xml:space="preserve"> a veškerých dalších </w:t>
      </w:r>
      <w:r w:rsidR="003E6642" w:rsidRPr="00C21B37">
        <w:rPr>
          <w:rFonts w:cstheme="minorHAnsi"/>
          <w:sz w:val="20"/>
          <w:szCs w:val="20"/>
        </w:rPr>
        <w:t>požadavků</w:t>
      </w:r>
      <w:r w:rsidR="003B2311" w:rsidRPr="00C21B37">
        <w:rPr>
          <w:rFonts w:cstheme="minorHAnsi"/>
          <w:sz w:val="20"/>
          <w:szCs w:val="20"/>
        </w:rPr>
        <w:t xml:space="preserve"> včetně problematiky smluvních sankcí</w:t>
      </w:r>
      <w:r w:rsidR="00A1796B" w:rsidRPr="00C21B37">
        <w:rPr>
          <w:rFonts w:cstheme="minorHAnsi"/>
          <w:sz w:val="20"/>
          <w:szCs w:val="20"/>
        </w:rPr>
        <w:t>.</w:t>
      </w:r>
      <w:r w:rsidR="00781ACF" w:rsidRPr="00C21B37">
        <w:rPr>
          <w:rFonts w:cstheme="minorHAnsi"/>
          <w:sz w:val="20"/>
          <w:szCs w:val="20"/>
        </w:rPr>
        <w:t xml:space="preserve"> Odchylky od tohoto pravidla jsou uvedeny v následujících odstavcích.</w:t>
      </w:r>
    </w:p>
    <w:p w14:paraId="79B02B29" w14:textId="5AB65006" w:rsidR="00E83BAE" w:rsidRPr="00C21B37" w:rsidRDefault="00E83BAE" w:rsidP="00A53F63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C21B37">
        <w:rPr>
          <w:rFonts w:cstheme="minorHAnsi"/>
          <w:sz w:val="20"/>
          <w:szCs w:val="20"/>
        </w:rPr>
        <w:t xml:space="preserve">Kapacita vlaků tvořících rozšířené Dopravní výkony podle této přílohy je stanovena v rozsahu Kmenové soupravy </w:t>
      </w:r>
      <w:r w:rsidR="00884244">
        <w:rPr>
          <w:rFonts w:cstheme="minorHAnsi"/>
          <w:sz w:val="20"/>
          <w:szCs w:val="20"/>
        </w:rPr>
        <w:t>na 1</w:t>
      </w:r>
      <w:r w:rsidR="006A3848">
        <w:rPr>
          <w:rFonts w:cstheme="minorHAnsi"/>
          <w:sz w:val="20"/>
          <w:szCs w:val="20"/>
        </w:rPr>
        <w:t>8</w:t>
      </w:r>
      <w:r w:rsidR="00884244">
        <w:rPr>
          <w:rFonts w:cstheme="minorHAnsi"/>
          <w:sz w:val="20"/>
          <w:szCs w:val="20"/>
        </w:rPr>
        <w:t>0 míst</w:t>
      </w:r>
      <w:r w:rsidR="00361D27" w:rsidRPr="00C21B37">
        <w:rPr>
          <w:rFonts w:cstheme="minorHAnsi"/>
          <w:sz w:val="20"/>
          <w:szCs w:val="20"/>
        </w:rPr>
        <w:t xml:space="preserve">, </w:t>
      </w:r>
      <w:r w:rsidRPr="00C21B37">
        <w:rPr>
          <w:rFonts w:cstheme="minorHAnsi"/>
          <w:sz w:val="20"/>
          <w:szCs w:val="20"/>
        </w:rPr>
        <w:t xml:space="preserve">bez požadavku na nasazení Pravidelných posil. </w:t>
      </w:r>
    </w:p>
    <w:p w14:paraId="327C8BEE" w14:textId="64C5ECAD" w:rsidR="00781ACF" w:rsidRDefault="00E83BAE" w:rsidP="00A53F63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C21B37">
        <w:rPr>
          <w:rFonts w:cstheme="minorHAnsi"/>
          <w:sz w:val="20"/>
          <w:szCs w:val="20"/>
        </w:rPr>
        <w:t xml:space="preserve">V </w:t>
      </w:r>
      <w:r w:rsidR="00781ACF" w:rsidRPr="00C21B37">
        <w:rPr>
          <w:rFonts w:cstheme="minorHAnsi"/>
          <w:sz w:val="20"/>
          <w:szCs w:val="20"/>
        </w:rPr>
        <w:t>příloze č. 4 této Smlouvy se od zahájení provozu rozšířených Dopravních výkonů stanovuj</w:t>
      </w:r>
      <w:r w:rsidR="00884244">
        <w:rPr>
          <w:rFonts w:cstheme="minorHAnsi"/>
          <w:sz w:val="20"/>
          <w:szCs w:val="20"/>
        </w:rPr>
        <w:t>í následující měřící body</w:t>
      </w:r>
      <w:r w:rsidR="00884244" w:rsidRPr="00255524">
        <w:rPr>
          <w:rFonts w:cstheme="minorHAnsi"/>
          <w:sz w:val="20"/>
          <w:szCs w:val="20"/>
        </w:rPr>
        <w:t>:</w:t>
      </w:r>
      <w:r w:rsidR="00884244" w:rsidRPr="00255524">
        <w:rPr>
          <w:rFonts w:cstheme="minorHAnsi"/>
          <w:b/>
          <w:sz w:val="20"/>
          <w:szCs w:val="20"/>
        </w:rPr>
        <w:t xml:space="preserve"> </w:t>
      </w:r>
      <w:r w:rsidR="00884244" w:rsidRPr="00255524">
        <w:rPr>
          <w:rFonts w:cstheme="minorHAnsi"/>
          <w:sz w:val="20"/>
          <w:szCs w:val="20"/>
        </w:rPr>
        <w:t>„</w:t>
      </w:r>
      <w:r w:rsidR="00884244" w:rsidRPr="00255524">
        <w:rPr>
          <w:rFonts w:cstheme="minorHAnsi"/>
          <w:b/>
          <w:sz w:val="20"/>
          <w:szCs w:val="20"/>
        </w:rPr>
        <w:t xml:space="preserve">Linka </w:t>
      </w:r>
      <w:r w:rsidR="00B25FFC">
        <w:rPr>
          <w:rFonts w:cstheme="minorHAnsi"/>
          <w:b/>
          <w:sz w:val="20"/>
          <w:szCs w:val="20"/>
        </w:rPr>
        <w:t>R29</w:t>
      </w:r>
      <w:r w:rsidR="00884244" w:rsidRPr="00255524">
        <w:rPr>
          <w:rFonts w:cstheme="minorHAnsi"/>
          <w:b/>
          <w:sz w:val="20"/>
          <w:szCs w:val="20"/>
        </w:rPr>
        <w:t>: Kolín, Nymburk, Mladá Boleslav, Turnov, Liberec</w:t>
      </w:r>
      <w:r w:rsidR="00255524">
        <w:rPr>
          <w:rFonts w:cstheme="minorHAnsi"/>
          <w:sz w:val="20"/>
          <w:szCs w:val="20"/>
        </w:rPr>
        <w:t xml:space="preserve">“ a dodatečné přípojné vazby pro tuto linku: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5"/>
        <w:gridCol w:w="3493"/>
        <w:gridCol w:w="2611"/>
        <w:gridCol w:w="2263"/>
      </w:tblGrid>
      <w:tr w:rsidR="00255524" w:rsidRPr="00EB01EF" w14:paraId="22414C73" w14:textId="77777777" w:rsidTr="00255524">
        <w:tc>
          <w:tcPr>
            <w:tcW w:w="695" w:type="dxa"/>
          </w:tcPr>
          <w:p w14:paraId="4A94840B" w14:textId="77C518AA" w:rsidR="00255524" w:rsidRDefault="00B25FFC" w:rsidP="00C669E3">
            <w:pPr>
              <w:spacing w:after="120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R29</w:t>
            </w:r>
          </w:p>
        </w:tc>
        <w:tc>
          <w:tcPr>
            <w:tcW w:w="3493" w:type="dxa"/>
          </w:tcPr>
          <w:p w14:paraId="3E9A799B" w14:textId="417EB46F" w:rsidR="00255524" w:rsidRPr="002541B0" w:rsidRDefault="00255524" w:rsidP="00C669E3">
            <w:pPr>
              <w:rPr>
                <w:sz w:val="16"/>
                <w:szCs w:val="16"/>
                <w:lang w:val="af-ZA"/>
              </w:rPr>
            </w:pPr>
            <w:r w:rsidRPr="002541B0">
              <w:rPr>
                <w:b/>
                <w:sz w:val="16"/>
                <w:szCs w:val="16"/>
                <w:lang w:val="af-ZA"/>
              </w:rPr>
              <w:t>Kolín</w:t>
            </w:r>
            <w:r>
              <w:rPr>
                <w:b/>
                <w:sz w:val="16"/>
                <w:szCs w:val="16"/>
                <w:lang w:val="af-ZA"/>
              </w:rPr>
              <w:t xml:space="preserve">: Ex3 </w:t>
            </w:r>
            <w:r>
              <w:rPr>
                <w:sz w:val="16"/>
                <w:szCs w:val="16"/>
                <w:lang w:val="af-ZA"/>
              </w:rPr>
              <w:t xml:space="preserve">(Brno) / </w:t>
            </w:r>
            <w:r w:rsidRPr="00B11746">
              <w:rPr>
                <w:b/>
                <w:sz w:val="16"/>
                <w:szCs w:val="16"/>
                <w:lang w:val="af-ZA"/>
              </w:rPr>
              <w:t>R2</w:t>
            </w:r>
            <w:r w:rsidR="00CB78BF">
              <w:rPr>
                <w:b/>
                <w:sz w:val="16"/>
                <w:szCs w:val="16"/>
                <w:lang w:val="af-ZA"/>
              </w:rPr>
              <w:t>9</w:t>
            </w:r>
          </w:p>
          <w:p w14:paraId="47380075" w14:textId="053545BF" w:rsidR="00255524" w:rsidRPr="00CB78BF" w:rsidRDefault="00255524" w:rsidP="00C669E3">
            <w:pPr>
              <w:rPr>
                <w:bCs/>
                <w:sz w:val="16"/>
                <w:szCs w:val="16"/>
                <w:lang w:val="af-ZA"/>
              </w:rPr>
            </w:pPr>
            <w:r w:rsidRPr="002541B0">
              <w:rPr>
                <w:b/>
                <w:sz w:val="16"/>
                <w:szCs w:val="16"/>
                <w:lang w:val="af-ZA"/>
              </w:rPr>
              <w:t>Nymburk</w:t>
            </w:r>
            <w:r>
              <w:rPr>
                <w:b/>
                <w:sz w:val="16"/>
                <w:szCs w:val="16"/>
                <w:lang w:val="af-ZA"/>
              </w:rPr>
              <w:t xml:space="preserve">: R10 </w:t>
            </w:r>
            <w:r w:rsidRPr="00B11746">
              <w:rPr>
                <w:sz w:val="16"/>
                <w:szCs w:val="16"/>
                <w:lang w:val="af-ZA"/>
              </w:rPr>
              <w:t>(Hradec Králové)</w:t>
            </w:r>
            <w:r>
              <w:rPr>
                <w:sz w:val="16"/>
                <w:szCs w:val="16"/>
                <w:lang w:val="af-ZA"/>
              </w:rPr>
              <w:t xml:space="preserve"> / </w:t>
            </w:r>
            <w:r w:rsidRPr="00B11746">
              <w:rPr>
                <w:b/>
                <w:sz w:val="16"/>
                <w:szCs w:val="16"/>
                <w:lang w:val="af-ZA"/>
              </w:rPr>
              <w:t>R2</w:t>
            </w:r>
            <w:r w:rsidR="00CB78BF">
              <w:rPr>
                <w:b/>
                <w:sz w:val="16"/>
                <w:szCs w:val="16"/>
                <w:lang w:val="af-ZA"/>
              </w:rPr>
              <w:t xml:space="preserve">9 </w:t>
            </w:r>
            <w:r w:rsidR="00CB78BF" w:rsidRPr="00CB78BF">
              <w:rPr>
                <w:bCs/>
                <w:sz w:val="16"/>
                <w:szCs w:val="16"/>
                <w:lang w:val="af-ZA"/>
              </w:rPr>
              <w:t>(Liberec)</w:t>
            </w:r>
          </w:p>
          <w:p w14:paraId="4A76577A" w14:textId="0115677A" w:rsidR="00255524" w:rsidRDefault="00255524" w:rsidP="00C669E3">
            <w:pPr>
              <w:rPr>
                <w:sz w:val="16"/>
                <w:szCs w:val="16"/>
                <w:lang w:val="af-ZA"/>
              </w:rPr>
            </w:pPr>
            <w:r w:rsidRPr="002541B0">
              <w:rPr>
                <w:b/>
                <w:sz w:val="16"/>
                <w:szCs w:val="16"/>
                <w:lang w:val="af-ZA"/>
              </w:rPr>
              <w:t>Mladá Boleslav</w:t>
            </w:r>
            <w:r>
              <w:rPr>
                <w:b/>
                <w:sz w:val="16"/>
                <w:szCs w:val="16"/>
                <w:lang w:val="af-ZA"/>
              </w:rPr>
              <w:t>: R2</w:t>
            </w:r>
            <w:r w:rsidR="00B25FFC">
              <w:rPr>
                <w:b/>
                <w:sz w:val="16"/>
                <w:szCs w:val="16"/>
                <w:lang w:val="af-ZA"/>
              </w:rPr>
              <w:t>4</w:t>
            </w:r>
            <w:r>
              <w:rPr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sz w:val="16"/>
                <w:szCs w:val="16"/>
                <w:lang w:val="af-ZA"/>
              </w:rPr>
              <w:t xml:space="preserve">(Praha) / </w:t>
            </w:r>
            <w:r w:rsidRPr="00B11746">
              <w:rPr>
                <w:b/>
                <w:sz w:val="16"/>
                <w:szCs w:val="16"/>
                <w:lang w:val="af-ZA"/>
              </w:rPr>
              <w:t>R2</w:t>
            </w:r>
            <w:r w:rsidR="00CB78BF">
              <w:rPr>
                <w:b/>
                <w:sz w:val="16"/>
                <w:szCs w:val="16"/>
                <w:lang w:val="af-ZA"/>
              </w:rPr>
              <w:t>9</w:t>
            </w:r>
            <w:r>
              <w:rPr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sz w:val="16"/>
                <w:szCs w:val="16"/>
                <w:lang w:val="af-ZA"/>
              </w:rPr>
              <w:t>(Liberec)</w:t>
            </w:r>
          </w:p>
          <w:p w14:paraId="3906CE65" w14:textId="10EE961C" w:rsidR="00255524" w:rsidRPr="00B11746" w:rsidRDefault="00255524" w:rsidP="00C669E3">
            <w:pPr>
              <w:rPr>
                <w:sz w:val="16"/>
                <w:szCs w:val="16"/>
                <w:lang w:val="af-ZA"/>
              </w:rPr>
            </w:pPr>
            <w:r w:rsidRPr="00B11746">
              <w:rPr>
                <w:b/>
                <w:sz w:val="16"/>
                <w:szCs w:val="16"/>
                <w:lang w:val="af-ZA"/>
              </w:rPr>
              <w:t>Mlad</w:t>
            </w:r>
            <w:r>
              <w:rPr>
                <w:b/>
                <w:sz w:val="16"/>
                <w:szCs w:val="16"/>
                <w:lang w:val="af-ZA"/>
              </w:rPr>
              <w:t>á Boleslav: R2</w:t>
            </w:r>
            <w:r w:rsidR="00B25FFC">
              <w:rPr>
                <w:b/>
                <w:sz w:val="16"/>
                <w:szCs w:val="16"/>
                <w:lang w:val="af-ZA"/>
              </w:rPr>
              <w:t>4</w:t>
            </w:r>
            <w:r>
              <w:rPr>
                <w:b/>
                <w:sz w:val="16"/>
                <w:szCs w:val="16"/>
                <w:lang w:val="af-ZA"/>
              </w:rPr>
              <w:t xml:space="preserve"> </w:t>
            </w:r>
            <w:r w:rsidRPr="00B11746">
              <w:rPr>
                <w:sz w:val="16"/>
                <w:szCs w:val="16"/>
                <w:lang w:val="af-ZA"/>
              </w:rPr>
              <w:t>(</w:t>
            </w:r>
            <w:r>
              <w:rPr>
                <w:sz w:val="16"/>
                <w:szCs w:val="16"/>
                <w:lang w:val="af-ZA"/>
              </w:rPr>
              <w:t>Česká Lípa</w:t>
            </w:r>
            <w:r w:rsidRPr="00B11746">
              <w:rPr>
                <w:sz w:val="16"/>
                <w:szCs w:val="16"/>
                <w:lang w:val="af-ZA"/>
              </w:rPr>
              <w:t>)</w:t>
            </w:r>
            <w:r>
              <w:rPr>
                <w:sz w:val="16"/>
                <w:szCs w:val="16"/>
                <w:lang w:val="af-ZA"/>
              </w:rPr>
              <w:t xml:space="preserve"> / </w:t>
            </w:r>
            <w:r w:rsidRPr="00B11746">
              <w:rPr>
                <w:b/>
                <w:sz w:val="16"/>
                <w:szCs w:val="16"/>
                <w:lang w:val="af-ZA"/>
              </w:rPr>
              <w:t>R2</w:t>
            </w:r>
            <w:r w:rsidR="00CB78BF">
              <w:rPr>
                <w:b/>
                <w:sz w:val="16"/>
                <w:szCs w:val="16"/>
                <w:lang w:val="af-ZA"/>
              </w:rPr>
              <w:t>9</w:t>
            </w:r>
            <w:r>
              <w:rPr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sz w:val="16"/>
                <w:szCs w:val="16"/>
                <w:lang w:val="af-ZA"/>
              </w:rPr>
              <w:t>(Kolín)</w:t>
            </w:r>
          </w:p>
          <w:p w14:paraId="17A079EC" w14:textId="77777777" w:rsidR="00255524" w:rsidRDefault="00255524" w:rsidP="00255524">
            <w:pPr>
              <w:rPr>
                <w:b/>
                <w:sz w:val="16"/>
                <w:szCs w:val="16"/>
                <w:lang w:val="af-ZA"/>
              </w:rPr>
            </w:pPr>
          </w:p>
        </w:tc>
        <w:tc>
          <w:tcPr>
            <w:tcW w:w="2611" w:type="dxa"/>
          </w:tcPr>
          <w:p w14:paraId="0272040B" w14:textId="372E2556" w:rsidR="00255524" w:rsidRDefault="00255524" w:rsidP="00255524">
            <w:pPr>
              <w:rPr>
                <w:b/>
                <w:sz w:val="16"/>
                <w:szCs w:val="16"/>
                <w:lang w:val="af-ZA"/>
              </w:rPr>
            </w:pPr>
            <w:r>
              <w:rPr>
                <w:b/>
                <w:sz w:val="16"/>
                <w:szCs w:val="16"/>
                <w:lang w:val="af-ZA"/>
              </w:rPr>
              <w:t>Liberec: Frydlant v Čechách</w:t>
            </w:r>
            <w:r w:rsidR="00CB78BF">
              <w:rPr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b/>
                <w:sz w:val="16"/>
                <w:szCs w:val="16"/>
                <w:lang w:val="af-ZA"/>
              </w:rPr>
              <w:t>/</w:t>
            </w:r>
            <w:r w:rsidR="00CB78BF">
              <w:rPr>
                <w:b/>
                <w:sz w:val="16"/>
                <w:szCs w:val="16"/>
                <w:lang w:val="af-ZA"/>
              </w:rPr>
              <w:t xml:space="preserve"> </w:t>
            </w:r>
            <w:r w:rsidR="00B25FFC">
              <w:rPr>
                <w:b/>
                <w:sz w:val="16"/>
                <w:szCs w:val="16"/>
                <w:lang w:val="af-ZA"/>
              </w:rPr>
              <w:t>R29</w:t>
            </w:r>
          </w:p>
        </w:tc>
        <w:tc>
          <w:tcPr>
            <w:tcW w:w="2263" w:type="dxa"/>
          </w:tcPr>
          <w:p w14:paraId="6B11BB0A" w14:textId="77777777" w:rsidR="00255524" w:rsidRPr="004E3E47" w:rsidRDefault="00255524" w:rsidP="00C669E3">
            <w:pPr>
              <w:spacing w:after="120"/>
              <w:rPr>
                <w:sz w:val="16"/>
                <w:szCs w:val="16"/>
                <w:lang w:val="af-ZA"/>
              </w:rPr>
            </w:pPr>
          </w:p>
        </w:tc>
      </w:tr>
    </w:tbl>
    <w:p w14:paraId="2DA7A288" w14:textId="77777777" w:rsidR="007D509A" w:rsidRDefault="007D509A">
      <w:pPr>
        <w:rPr>
          <w:sz w:val="20"/>
          <w:szCs w:val="20"/>
        </w:rPr>
        <w:sectPr w:rsidR="007D509A" w:rsidSect="007D509A">
          <w:headerReference w:type="default" r:id="rId11"/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8596B3B" w14:textId="77777777" w:rsidR="00DD14FA" w:rsidRPr="00C36B5B" w:rsidRDefault="00DD14FA" w:rsidP="00DD14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C36B5B">
        <w:rPr>
          <w:rFonts w:cstheme="minorHAnsi"/>
          <w:b/>
          <w:sz w:val="28"/>
          <w:szCs w:val="28"/>
        </w:rPr>
        <w:lastRenderedPageBreak/>
        <w:t>Příloha č. 1</w:t>
      </w:r>
      <w:r>
        <w:rPr>
          <w:rFonts w:cstheme="minorHAnsi"/>
          <w:b/>
          <w:sz w:val="28"/>
          <w:szCs w:val="28"/>
        </w:rPr>
        <w:t>2A</w:t>
      </w:r>
    </w:p>
    <w:p w14:paraId="4973A6FA" w14:textId="77777777" w:rsidR="00DD14FA" w:rsidRPr="00C36B5B" w:rsidRDefault="00DD14FA" w:rsidP="00DD14FA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Rozšířená p</w:t>
      </w:r>
      <w:r w:rsidRPr="00C36B5B">
        <w:rPr>
          <w:rFonts w:cstheme="minorHAnsi"/>
          <w:b/>
          <w:sz w:val="28"/>
          <w:szCs w:val="28"/>
        </w:rPr>
        <w:t>rovozní koncepce</w:t>
      </w:r>
    </w:p>
    <w:p w14:paraId="74D997EA" w14:textId="77777777" w:rsidR="00DD14FA" w:rsidRDefault="00DD14FA" w:rsidP="00DD14FA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5AA5D6B4" w14:textId="24989AE9" w:rsidR="00513023" w:rsidRPr="00C21B37" w:rsidRDefault="007F613E" w:rsidP="0051302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F42205">
        <w:rPr>
          <w:rFonts w:cstheme="minorHAnsi"/>
          <w:sz w:val="20"/>
          <w:szCs w:val="20"/>
        </w:rPr>
        <w:t>Tato p</w:t>
      </w:r>
      <w:r w:rsidR="00D9099A">
        <w:rPr>
          <w:rFonts w:cstheme="minorHAnsi"/>
          <w:sz w:val="20"/>
          <w:szCs w:val="20"/>
        </w:rPr>
        <w:t xml:space="preserve">říloha obsahuje </w:t>
      </w:r>
      <w:r w:rsidR="00D9099A" w:rsidRPr="00C21B37">
        <w:rPr>
          <w:rFonts w:cstheme="minorHAnsi"/>
          <w:sz w:val="20"/>
          <w:szCs w:val="20"/>
        </w:rPr>
        <w:t>provozní koncepci</w:t>
      </w:r>
      <w:r w:rsidRPr="00C21B37">
        <w:rPr>
          <w:rFonts w:cstheme="minorHAnsi"/>
          <w:sz w:val="20"/>
          <w:szCs w:val="20"/>
        </w:rPr>
        <w:t xml:space="preserve"> linky </w:t>
      </w:r>
      <w:r w:rsidR="00B25FFC">
        <w:rPr>
          <w:rFonts w:cstheme="minorHAnsi"/>
          <w:sz w:val="20"/>
          <w:szCs w:val="20"/>
        </w:rPr>
        <w:t>R29</w:t>
      </w:r>
      <w:r w:rsidR="00593202">
        <w:rPr>
          <w:rFonts w:cstheme="minorHAnsi"/>
          <w:sz w:val="20"/>
          <w:szCs w:val="20"/>
        </w:rPr>
        <w:t xml:space="preserve"> Kolín </w:t>
      </w:r>
      <w:r w:rsidR="00E76B7D" w:rsidRPr="00541ACB">
        <w:rPr>
          <w:rFonts w:cstheme="minorHAnsi"/>
          <w:sz w:val="20"/>
          <w:szCs w:val="20"/>
        </w:rPr>
        <w:t>– Mladá Boleslav – Liberec</w:t>
      </w:r>
      <w:r w:rsidR="00E76B7D">
        <w:rPr>
          <w:rFonts w:cstheme="minorHAnsi"/>
          <w:sz w:val="20"/>
          <w:szCs w:val="20"/>
        </w:rPr>
        <w:t xml:space="preserve"> </w:t>
      </w:r>
      <w:r w:rsidR="00593202">
        <w:rPr>
          <w:rFonts w:cstheme="minorHAnsi"/>
          <w:sz w:val="20"/>
          <w:szCs w:val="20"/>
        </w:rPr>
        <w:t>v případě rozšíření p</w:t>
      </w:r>
      <w:r w:rsidR="00D9099A" w:rsidRPr="00C21B37">
        <w:rPr>
          <w:rFonts w:cstheme="minorHAnsi"/>
          <w:sz w:val="20"/>
          <w:szCs w:val="20"/>
        </w:rPr>
        <w:t xml:space="preserve">rovozu </w:t>
      </w:r>
      <w:r w:rsidR="00593202">
        <w:rPr>
          <w:rFonts w:cstheme="minorHAnsi"/>
          <w:sz w:val="20"/>
          <w:szCs w:val="20"/>
        </w:rPr>
        <w:t xml:space="preserve">o tuto linku </w:t>
      </w:r>
      <w:r w:rsidR="00513023" w:rsidRPr="00C21B37">
        <w:rPr>
          <w:rFonts w:cstheme="minorHAnsi"/>
          <w:sz w:val="20"/>
          <w:szCs w:val="20"/>
        </w:rPr>
        <w:t>podle článku 1 přílohy</w:t>
      </w:r>
      <w:r w:rsidR="00E311AC" w:rsidRPr="00C21B37">
        <w:rPr>
          <w:rFonts w:cstheme="minorHAnsi"/>
          <w:sz w:val="20"/>
          <w:szCs w:val="20"/>
        </w:rPr>
        <w:t xml:space="preserve"> č. 12</w:t>
      </w:r>
      <w:r w:rsidR="00593202">
        <w:rPr>
          <w:rFonts w:cstheme="minorHAnsi"/>
          <w:sz w:val="20"/>
          <w:szCs w:val="20"/>
        </w:rPr>
        <w:t xml:space="preserve"> této Smlouvy</w:t>
      </w:r>
      <w:r w:rsidRPr="00C21B37">
        <w:rPr>
          <w:rFonts w:cstheme="minorHAnsi"/>
          <w:sz w:val="20"/>
          <w:szCs w:val="20"/>
        </w:rPr>
        <w:t xml:space="preserve">. </w:t>
      </w:r>
    </w:p>
    <w:p w14:paraId="272AAA68" w14:textId="77777777" w:rsidR="007F613E" w:rsidRPr="00C21B37" w:rsidRDefault="007F613E" w:rsidP="0051302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C21B37">
        <w:rPr>
          <w:rFonts w:cstheme="minorHAnsi"/>
          <w:sz w:val="20"/>
          <w:szCs w:val="20"/>
        </w:rPr>
        <w:t>Čísla vlaků a přesné minutové polohy jednotlivých vlaků jsou informativní, konečná přidělí pro každé období platnosti jízdního řádu provozovatel dráhy</w:t>
      </w:r>
      <w:r w:rsidR="00513023" w:rsidRPr="00C21B37">
        <w:rPr>
          <w:rFonts w:cstheme="minorHAnsi"/>
          <w:sz w:val="20"/>
          <w:szCs w:val="20"/>
        </w:rPr>
        <w:t xml:space="preserve">. </w:t>
      </w:r>
      <w:r w:rsidR="00D9099A" w:rsidRPr="00C21B37">
        <w:rPr>
          <w:rFonts w:cstheme="minorHAnsi"/>
          <w:sz w:val="20"/>
          <w:szCs w:val="20"/>
        </w:rPr>
        <w:t xml:space="preserve">Provoz všech vlaků </w:t>
      </w:r>
      <w:r w:rsidR="00513023" w:rsidRPr="00C21B37">
        <w:rPr>
          <w:rFonts w:cstheme="minorHAnsi"/>
          <w:sz w:val="20"/>
          <w:szCs w:val="20"/>
        </w:rPr>
        <w:t xml:space="preserve">vymezených v této příloze </w:t>
      </w:r>
      <w:r w:rsidR="00D9099A" w:rsidRPr="00C21B37">
        <w:rPr>
          <w:rFonts w:cstheme="minorHAnsi"/>
          <w:sz w:val="20"/>
          <w:szCs w:val="20"/>
        </w:rPr>
        <w:t>se předpokládá denně. Případné dílčí</w:t>
      </w:r>
      <w:r w:rsidRPr="00C21B37">
        <w:rPr>
          <w:rFonts w:cstheme="minorHAnsi"/>
          <w:sz w:val="20"/>
          <w:szCs w:val="20"/>
        </w:rPr>
        <w:t xml:space="preserve"> úpravy jízdy vlaků v době vánočních a dalších svátků v jednotlivých obdobích platnosti jízdního řádu budou sjednány postupem podle článku 7 této Smlouvy.</w:t>
      </w:r>
    </w:p>
    <w:p w14:paraId="72B0000E" w14:textId="5B572446" w:rsidR="00593202" w:rsidRDefault="007F613E" w:rsidP="00FB630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593202">
        <w:rPr>
          <w:rFonts w:cstheme="minorHAnsi"/>
          <w:sz w:val="20"/>
          <w:szCs w:val="20"/>
        </w:rPr>
        <w:t xml:space="preserve">Vlaky linky </w:t>
      </w:r>
      <w:r w:rsidR="00B25FFC">
        <w:rPr>
          <w:rFonts w:cstheme="minorHAnsi"/>
          <w:sz w:val="20"/>
          <w:szCs w:val="20"/>
        </w:rPr>
        <w:t>R29</w:t>
      </w:r>
      <w:r w:rsidR="00593202" w:rsidRPr="00593202">
        <w:rPr>
          <w:rFonts w:cstheme="minorHAnsi"/>
          <w:sz w:val="20"/>
          <w:szCs w:val="20"/>
        </w:rPr>
        <w:t xml:space="preserve"> </w:t>
      </w:r>
      <w:r w:rsidRPr="00593202">
        <w:rPr>
          <w:rFonts w:cstheme="minorHAnsi"/>
          <w:sz w:val="20"/>
          <w:szCs w:val="20"/>
        </w:rPr>
        <w:t>obslouží stanice a zastávky v úseku K</w:t>
      </w:r>
      <w:r w:rsidR="00593202" w:rsidRPr="00593202">
        <w:rPr>
          <w:rFonts w:cstheme="minorHAnsi"/>
          <w:sz w:val="20"/>
          <w:szCs w:val="20"/>
        </w:rPr>
        <w:t xml:space="preserve">olín </w:t>
      </w:r>
      <w:r w:rsidR="00E76B7D" w:rsidRPr="00541ACB">
        <w:rPr>
          <w:rFonts w:cstheme="minorHAnsi"/>
          <w:sz w:val="20"/>
          <w:szCs w:val="20"/>
        </w:rPr>
        <w:t>– Mladá Boleslav – Liberec</w:t>
      </w:r>
      <w:r w:rsidR="00593202">
        <w:rPr>
          <w:rFonts w:cstheme="minorHAnsi"/>
          <w:sz w:val="20"/>
          <w:szCs w:val="20"/>
        </w:rPr>
        <w:t xml:space="preserve">: </w:t>
      </w:r>
    </w:p>
    <w:p w14:paraId="27426DE2" w14:textId="782556D9" w:rsidR="007F613E" w:rsidRDefault="00593202" w:rsidP="00593202">
      <w:pPr>
        <w:pStyle w:val="Odstavecseseznamem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Kolín, Poděbrady, Nymburk hl</w:t>
      </w:r>
      <w:r w:rsidR="00B25FFC">
        <w:rPr>
          <w:rFonts w:cstheme="minorHAnsi"/>
          <w:sz w:val="20"/>
          <w:szCs w:val="20"/>
        </w:rPr>
        <w:t>avní nádraží</w:t>
      </w:r>
      <w:r>
        <w:rPr>
          <w:rFonts w:cstheme="minorHAnsi"/>
          <w:sz w:val="20"/>
          <w:szCs w:val="20"/>
        </w:rPr>
        <w:t>, Mladá Boleslav hl</w:t>
      </w:r>
      <w:r w:rsidR="00B25FFC">
        <w:rPr>
          <w:rFonts w:cstheme="minorHAnsi"/>
          <w:sz w:val="20"/>
          <w:szCs w:val="20"/>
        </w:rPr>
        <w:t>avní nádraží/Mladá Boleslav město*</w:t>
      </w:r>
      <w:r>
        <w:rPr>
          <w:rFonts w:cstheme="minorHAnsi"/>
          <w:sz w:val="20"/>
          <w:szCs w:val="20"/>
        </w:rPr>
        <w:t>, Bakov nad Jizerou město, Mnichov</w:t>
      </w:r>
      <w:r w:rsidR="00CB78B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Hradiště, Turnov, Rychnov u Jablonce nad Nisou</w:t>
      </w:r>
      <w:r w:rsidR="00CB78BF">
        <w:rPr>
          <w:rFonts w:cstheme="minorHAnsi"/>
          <w:sz w:val="20"/>
          <w:szCs w:val="20"/>
        </w:rPr>
        <w:t xml:space="preserve"> a</w:t>
      </w:r>
      <w:r>
        <w:rPr>
          <w:rFonts w:cstheme="minorHAnsi"/>
          <w:sz w:val="20"/>
          <w:szCs w:val="20"/>
        </w:rPr>
        <w:t xml:space="preserve"> Liberec.</w:t>
      </w:r>
    </w:p>
    <w:p w14:paraId="4526B9EA" w14:textId="5D5D1D09" w:rsidR="005E1B67" w:rsidRPr="00B25FFC" w:rsidRDefault="00B25FFC" w:rsidP="00B25FFC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cstheme="minorHAnsi"/>
          <w:sz w:val="20"/>
          <w:szCs w:val="20"/>
        </w:rPr>
        <w:sectPr w:rsidR="005E1B67" w:rsidRPr="00B25FFC" w:rsidSect="00255524"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cstheme="minorHAnsi"/>
          <w:sz w:val="20"/>
          <w:szCs w:val="20"/>
        </w:rPr>
        <w:t xml:space="preserve">* Obsluha Mladé Boleslavi je závislá na rozsahu dopravní infrastruktury. </w:t>
      </w:r>
    </w:p>
    <w:p w14:paraId="07EE9C34" w14:textId="76A4C866" w:rsidR="005E1B67" w:rsidRDefault="00606A70" w:rsidP="00593202">
      <w:pPr>
        <w:pStyle w:val="Odstavecseseznamem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606A70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59868BF5" wp14:editId="5E184123">
            <wp:extent cx="7980825" cy="2301240"/>
            <wp:effectExtent l="0" t="0" r="1270" b="3810"/>
            <wp:docPr id="144290649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534" cy="230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2E794" w14:textId="7C990426" w:rsidR="00593202" w:rsidRDefault="00606A70" w:rsidP="00606A70">
      <w:pPr>
        <w:pStyle w:val="Odstavecseseznamem"/>
        <w:autoSpaceDE w:val="0"/>
        <w:autoSpaceDN w:val="0"/>
        <w:adjustRightInd w:val="0"/>
        <w:spacing w:after="120" w:line="240" w:lineRule="auto"/>
        <w:ind w:left="0" w:firstLine="426"/>
        <w:contextualSpacing w:val="0"/>
        <w:rPr>
          <w:rFonts w:cstheme="minorHAnsi"/>
          <w:sz w:val="20"/>
          <w:szCs w:val="20"/>
        </w:rPr>
      </w:pPr>
      <w:r w:rsidRPr="00606A70">
        <w:rPr>
          <w:rFonts w:cstheme="minorHAnsi"/>
          <w:noProof/>
          <w:sz w:val="20"/>
          <w:szCs w:val="20"/>
        </w:rPr>
        <w:drawing>
          <wp:inline distT="0" distB="0" distL="0" distR="0" wp14:anchorId="4B1BB598" wp14:editId="7E654723">
            <wp:extent cx="7917180" cy="2727483"/>
            <wp:effectExtent l="0" t="0" r="7620" b="0"/>
            <wp:docPr id="158588180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001" cy="274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3E534" w14:textId="483D41CB" w:rsidR="00606A70" w:rsidRDefault="00606A70" w:rsidP="00593202">
      <w:pPr>
        <w:pStyle w:val="Odstavecseseznamem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cstheme="minorHAnsi"/>
          <w:sz w:val="20"/>
          <w:szCs w:val="20"/>
        </w:rPr>
      </w:pPr>
    </w:p>
    <w:sectPr w:rsidR="00606A70" w:rsidSect="0039400C">
      <w:footerReference w:type="even" r:id="rId17"/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4D330" w14:textId="77777777" w:rsidR="000E7606" w:rsidRDefault="000E7606" w:rsidP="003E6642">
      <w:pPr>
        <w:spacing w:after="0" w:line="240" w:lineRule="auto"/>
      </w:pPr>
      <w:r>
        <w:separator/>
      </w:r>
    </w:p>
  </w:endnote>
  <w:endnote w:type="continuationSeparator" w:id="0">
    <w:p w14:paraId="5E180490" w14:textId="77777777" w:rsidR="000E7606" w:rsidRDefault="000E7606" w:rsidP="003E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ADBD" w14:textId="2C913C92" w:rsidR="007D509A" w:rsidRPr="00EA20DE" w:rsidRDefault="007D509A" w:rsidP="007D509A">
    <w:pPr>
      <w:pStyle w:val="Zpat"/>
      <w:jc w:val="center"/>
      <w:rPr>
        <w:sz w:val="20"/>
        <w:szCs w:val="20"/>
      </w:rPr>
    </w:pPr>
    <w:r w:rsidRPr="00EA20DE">
      <w:rPr>
        <w:sz w:val="20"/>
        <w:szCs w:val="20"/>
      </w:rPr>
      <w:t xml:space="preserve">Strana </w:t>
    </w:r>
    <w:r>
      <w:rPr>
        <w:sz w:val="20"/>
        <w:szCs w:val="20"/>
      </w:rPr>
      <w:t xml:space="preserve">2 </w:t>
    </w:r>
    <w:r w:rsidRPr="00EA20DE">
      <w:rPr>
        <w:sz w:val="20"/>
        <w:szCs w:val="20"/>
      </w:rPr>
      <w:t>z</w:t>
    </w:r>
    <w:r w:rsidR="00BF7DE0">
      <w:rPr>
        <w:sz w:val="20"/>
        <w:szCs w:val="20"/>
      </w:rPr>
      <w:t>e 2</w:t>
    </w:r>
  </w:p>
  <w:p w14:paraId="66676D6B" w14:textId="77777777" w:rsidR="007D509A" w:rsidRDefault="007D509A" w:rsidP="007D509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3F819" w14:textId="543C7A69" w:rsidR="00EA20DE" w:rsidRPr="00EA20DE" w:rsidRDefault="00EA20DE">
    <w:pPr>
      <w:pStyle w:val="Zpat"/>
      <w:jc w:val="center"/>
      <w:rPr>
        <w:sz w:val="20"/>
        <w:szCs w:val="20"/>
      </w:rPr>
    </w:pPr>
    <w:r w:rsidRPr="00EA20DE">
      <w:rPr>
        <w:sz w:val="20"/>
        <w:szCs w:val="20"/>
      </w:rPr>
      <w:t xml:space="preserve">Strana </w:t>
    </w:r>
    <w:r w:rsidR="007D509A">
      <w:rPr>
        <w:sz w:val="20"/>
        <w:szCs w:val="20"/>
      </w:rPr>
      <w:t xml:space="preserve">1 </w:t>
    </w:r>
    <w:r w:rsidR="0002351C">
      <w:rPr>
        <w:sz w:val="20"/>
        <w:szCs w:val="20"/>
      </w:rPr>
      <w:t>z</w:t>
    </w:r>
    <w:r w:rsidR="00BF7DE0">
      <w:rPr>
        <w:sz w:val="20"/>
        <w:szCs w:val="20"/>
      </w:rPr>
      <w:t>e</w:t>
    </w:r>
    <w:r w:rsidR="0002351C">
      <w:rPr>
        <w:sz w:val="20"/>
        <w:szCs w:val="20"/>
      </w:rPr>
      <w:t xml:space="preserve"> </w:t>
    </w:r>
    <w:r w:rsidR="00BF7DE0">
      <w:rPr>
        <w:sz w:val="20"/>
        <w:szCs w:val="20"/>
      </w:rPr>
      <w:t>2</w:t>
    </w:r>
  </w:p>
  <w:p w14:paraId="347397C5" w14:textId="77777777" w:rsidR="00255524" w:rsidRDefault="002555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F7DC" w14:textId="7F343F2E" w:rsidR="007D509A" w:rsidRPr="00EA20DE" w:rsidRDefault="007D509A">
    <w:pPr>
      <w:pStyle w:val="Zpat"/>
      <w:jc w:val="center"/>
      <w:rPr>
        <w:sz w:val="20"/>
        <w:szCs w:val="20"/>
      </w:rPr>
    </w:pPr>
    <w:r w:rsidRPr="00EA20DE">
      <w:rPr>
        <w:sz w:val="20"/>
        <w:szCs w:val="20"/>
      </w:rPr>
      <w:t xml:space="preserve">Strana </w:t>
    </w:r>
    <w:r w:rsidR="00BF7DE0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Pr="00EA20DE">
      <w:rPr>
        <w:sz w:val="20"/>
        <w:szCs w:val="20"/>
      </w:rPr>
      <w:t>z</w:t>
    </w:r>
    <w:r w:rsidR="00BF7DE0">
      <w:rPr>
        <w:sz w:val="20"/>
        <w:szCs w:val="20"/>
      </w:rPr>
      <w:t>e</w:t>
    </w:r>
    <w:r w:rsidRPr="00EA20DE">
      <w:rPr>
        <w:sz w:val="20"/>
        <w:szCs w:val="20"/>
      </w:rPr>
      <w:t xml:space="preserve"> </w:t>
    </w:r>
    <w:r w:rsidR="00BF7DE0">
      <w:rPr>
        <w:sz w:val="20"/>
        <w:szCs w:val="20"/>
      </w:rPr>
      <w:t>2</w:t>
    </w:r>
  </w:p>
  <w:p w14:paraId="3161827F" w14:textId="77777777" w:rsidR="007D509A" w:rsidRDefault="007D509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48ED8" w14:textId="4A2A4C3E" w:rsidR="007D509A" w:rsidRPr="00EA20DE" w:rsidRDefault="007D509A" w:rsidP="007D509A">
    <w:pPr>
      <w:pStyle w:val="Zpat"/>
      <w:jc w:val="center"/>
      <w:rPr>
        <w:sz w:val="20"/>
        <w:szCs w:val="20"/>
      </w:rPr>
    </w:pPr>
    <w:r w:rsidRPr="00EA20DE">
      <w:rPr>
        <w:sz w:val="20"/>
        <w:szCs w:val="20"/>
      </w:rPr>
      <w:t xml:space="preserve">Strana </w:t>
    </w:r>
    <w:r w:rsidR="00BF7DE0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Pr="00EA20DE">
      <w:rPr>
        <w:sz w:val="20"/>
        <w:szCs w:val="20"/>
      </w:rPr>
      <w:t>z</w:t>
    </w:r>
    <w:r w:rsidR="00BF7DE0">
      <w:rPr>
        <w:sz w:val="20"/>
        <w:szCs w:val="20"/>
      </w:rPr>
      <w:t>e 2</w:t>
    </w:r>
  </w:p>
  <w:p w14:paraId="7108B7D4" w14:textId="77777777" w:rsidR="007D509A" w:rsidRDefault="007D509A" w:rsidP="007D509A">
    <w:pPr>
      <w:pStyle w:val="Zpat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7D7AA" w14:textId="77777777" w:rsidR="007D509A" w:rsidRPr="00EA20DE" w:rsidRDefault="007D509A">
    <w:pPr>
      <w:pStyle w:val="Zpat"/>
      <w:jc w:val="center"/>
      <w:rPr>
        <w:sz w:val="20"/>
        <w:szCs w:val="20"/>
      </w:rPr>
    </w:pPr>
    <w:r w:rsidRPr="00EA20DE">
      <w:rPr>
        <w:sz w:val="20"/>
        <w:szCs w:val="20"/>
      </w:rPr>
      <w:t xml:space="preserve">Strana </w:t>
    </w:r>
    <w:r>
      <w:rPr>
        <w:sz w:val="20"/>
        <w:szCs w:val="20"/>
      </w:rPr>
      <w:t>2</w:t>
    </w:r>
    <w:r w:rsidRPr="00EA20DE">
      <w:rPr>
        <w:sz w:val="20"/>
        <w:szCs w:val="20"/>
      </w:rPr>
      <w:t xml:space="preserve"> z </w:t>
    </w:r>
    <w:r>
      <w:rPr>
        <w:sz w:val="20"/>
        <w:szCs w:val="20"/>
      </w:rPr>
      <w:t>2</w:t>
    </w:r>
  </w:p>
  <w:p w14:paraId="09B94EFB" w14:textId="77777777" w:rsidR="007D509A" w:rsidRDefault="007D50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F6748" w14:textId="77777777" w:rsidR="000E7606" w:rsidRDefault="000E7606" w:rsidP="003E6642">
      <w:pPr>
        <w:spacing w:after="0" w:line="240" w:lineRule="auto"/>
      </w:pPr>
      <w:r>
        <w:separator/>
      </w:r>
    </w:p>
  </w:footnote>
  <w:footnote w:type="continuationSeparator" w:id="0">
    <w:p w14:paraId="041C9279" w14:textId="77777777" w:rsidR="000E7606" w:rsidRDefault="000E7606" w:rsidP="003E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5BEED" w14:textId="601F575E" w:rsidR="0069039F" w:rsidRPr="00A53F63" w:rsidRDefault="0069039F" w:rsidP="0069039F">
    <w:pPr>
      <w:pStyle w:val="Zhlav"/>
      <w:jc w:val="right"/>
      <w:rPr>
        <w:rFonts w:cstheme="minorHAnsi"/>
        <w:caps/>
        <w:sz w:val="18"/>
        <w:szCs w:val="18"/>
      </w:rPr>
    </w:pPr>
    <w:r w:rsidRPr="0069039F">
      <w:rPr>
        <w:rFonts w:cstheme="minorHAnsi"/>
        <w:smallCaps/>
        <w:sz w:val="18"/>
        <w:szCs w:val="18"/>
      </w:rPr>
      <w:t xml:space="preserve"> </w:t>
    </w:r>
    <w:r w:rsidRPr="00A53F63">
      <w:rPr>
        <w:rFonts w:cstheme="minorHAnsi"/>
        <w:caps/>
        <w:sz w:val="18"/>
        <w:szCs w:val="18"/>
      </w:rPr>
      <w:t>Soubor linek R14A, R14B, R21, R2</w:t>
    </w:r>
    <w:r w:rsidR="00B25FFC" w:rsidRPr="00A53F63">
      <w:rPr>
        <w:rFonts w:cstheme="minorHAnsi"/>
        <w:caps/>
        <w:sz w:val="18"/>
        <w:szCs w:val="18"/>
      </w:rPr>
      <w:t>2 a R24</w:t>
    </w:r>
  </w:p>
  <w:p w14:paraId="0DA5686B" w14:textId="62EF03FF" w:rsidR="003E6642" w:rsidRPr="00A53F63" w:rsidRDefault="003E6642" w:rsidP="003E6642">
    <w:pPr>
      <w:pStyle w:val="Zhlav"/>
      <w:jc w:val="right"/>
      <w:rPr>
        <w:caps/>
      </w:rPr>
    </w:pPr>
    <w:r w:rsidRPr="00A53F63">
      <w:rPr>
        <w:caps/>
        <w:sz w:val="18"/>
        <w:szCs w:val="18"/>
      </w:rPr>
      <w:t>příloha č. 1</w:t>
    </w:r>
    <w:r w:rsidR="00D56B2F" w:rsidRPr="00A53F63">
      <w:rPr>
        <w:caps/>
        <w:sz w:val="18"/>
        <w:szCs w:val="18"/>
      </w:rPr>
      <w:t>2</w:t>
    </w:r>
    <w:r w:rsidRPr="00A53F63">
      <w:rPr>
        <w:caps/>
        <w:sz w:val="18"/>
        <w:szCs w:val="18"/>
      </w:rPr>
      <w:t xml:space="preserve"> Smlouvy o veřejných službách</w:t>
    </w:r>
  </w:p>
  <w:p w14:paraId="1DA38147" w14:textId="33E70967" w:rsidR="003E6642" w:rsidRDefault="005E1B67">
    <w:pPr>
      <w:pStyle w:val="Zhlav"/>
    </w:pPr>
    <w:r>
      <w:rPr>
        <w:smallCaps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68106" wp14:editId="055B1894">
              <wp:simplePos x="0" y="0"/>
              <wp:positionH relativeFrom="margin">
                <wp:align>left</wp:align>
              </wp:positionH>
              <wp:positionV relativeFrom="paragraph">
                <wp:posOffset>62230</wp:posOffset>
              </wp:positionV>
              <wp:extent cx="8963025" cy="19050"/>
              <wp:effectExtent l="0" t="0" r="2857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3025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1F07C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9pt" to="705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663"/>
    <w:multiLevelType w:val="hybridMultilevel"/>
    <w:tmpl w:val="2E689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28DD"/>
    <w:multiLevelType w:val="hybridMultilevel"/>
    <w:tmpl w:val="B5B45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0AD3"/>
    <w:multiLevelType w:val="hybridMultilevel"/>
    <w:tmpl w:val="C726A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798"/>
    <w:multiLevelType w:val="hybridMultilevel"/>
    <w:tmpl w:val="E5962C0A"/>
    <w:lvl w:ilvl="0" w:tplc="D2940CF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F7B06"/>
    <w:multiLevelType w:val="hybridMultilevel"/>
    <w:tmpl w:val="DE9C83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B33A9"/>
    <w:multiLevelType w:val="hybridMultilevel"/>
    <w:tmpl w:val="C726A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F7163"/>
    <w:multiLevelType w:val="hybridMultilevel"/>
    <w:tmpl w:val="6F2E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ADE"/>
    <w:multiLevelType w:val="hybridMultilevel"/>
    <w:tmpl w:val="C726A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843420">
    <w:abstractNumId w:val="7"/>
  </w:num>
  <w:num w:numId="2" w16cid:durableId="840968312">
    <w:abstractNumId w:val="0"/>
  </w:num>
  <w:num w:numId="3" w16cid:durableId="1320309648">
    <w:abstractNumId w:val="2"/>
  </w:num>
  <w:num w:numId="4" w16cid:durableId="101075150">
    <w:abstractNumId w:val="3"/>
  </w:num>
  <w:num w:numId="5" w16cid:durableId="1646398342">
    <w:abstractNumId w:val="5"/>
  </w:num>
  <w:num w:numId="6" w16cid:durableId="477499521">
    <w:abstractNumId w:val="1"/>
  </w:num>
  <w:num w:numId="7" w16cid:durableId="1848976825">
    <w:abstractNumId w:val="4"/>
  </w:num>
  <w:num w:numId="8" w16cid:durableId="329986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8D"/>
    <w:rsid w:val="00004155"/>
    <w:rsid w:val="000205C3"/>
    <w:rsid w:val="0002351C"/>
    <w:rsid w:val="000D5C6B"/>
    <w:rsid w:val="000E7606"/>
    <w:rsid w:val="00111E6E"/>
    <w:rsid w:val="00112B98"/>
    <w:rsid w:val="00181D83"/>
    <w:rsid w:val="001B3CD7"/>
    <w:rsid w:val="00255524"/>
    <w:rsid w:val="00261298"/>
    <w:rsid w:val="00277685"/>
    <w:rsid w:val="00306D33"/>
    <w:rsid w:val="00361D27"/>
    <w:rsid w:val="00386AB8"/>
    <w:rsid w:val="0039400C"/>
    <w:rsid w:val="0039745B"/>
    <w:rsid w:val="003B2311"/>
    <w:rsid w:val="003E6642"/>
    <w:rsid w:val="004B089D"/>
    <w:rsid w:val="004D49F0"/>
    <w:rsid w:val="00512F39"/>
    <w:rsid w:val="00513023"/>
    <w:rsid w:val="0054079A"/>
    <w:rsid w:val="00541ACB"/>
    <w:rsid w:val="00546847"/>
    <w:rsid w:val="00564CA4"/>
    <w:rsid w:val="00593202"/>
    <w:rsid w:val="005C50DB"/>
    <w:rsid w:val="005E1B67"/>
    <w:rsid w:val="005E5C42"/>
    <w:rsid w:val="00606A70"/>
    <w:rsid w:val="006139A4"/>
    <w:rsid w:val="00617516"/>
    <w:rsid w:val="00654148"/>
    <w:rsid w:val="00673088"/>
    <w:rsid w:val="0069039F"/>
    <w:rsid w:val="00695485"/>
    <w:rsid w:val="006A3848"/>
    <w:rsid w:val="006C0083"/>
    <w:rsid w:val="0070645A"/>
    <w:rsid w:val="00742152"/>
    <w:rsid w:val="00781ACF"/>
    <w:rsid w:val="007C46C4"/>
    <w:rsid w:val="007D509A"/>
    <w:rsid w:val="007D67D8"/>
    <w:rsid w:val="007F613E"/>
    <w:rsid w:val="00803370"/>
    <w:rsid w:val="00806565"/>
    <w:rsid w:val="00823CDB"/>
    <w:rsid w:val="00842536"/>
    <w:rsid w:val="0085708A"/>
    <w:rsid w:val="00863DB6"/>
    <w:rsid w:val="00884244"/>
    <w:rsid w:val="00904013"/>
    <w:rsid w:val="00971B18"/>
    <w:rsid w:val="009E1AAD"/>
    <w:rsid w:val="00A1796B"/>
    <w:rsid w:val="00A23C56"/>
    <w:rsid w:val="00A53F63"/>
    <w:rsid w:val="00A54234"/>
    <w:rsid w:val="00A64480"/>
    <w:rsid w:val="00AA6EAB"/>
    <w:rsid w:val="00AD7B40"/>
    <w:rsid w:val="00B25FFC"/>
    <w:rsid w:val="00B43884"/>
    <w:rsid w:val="00B5516D"/>
    <w:rsid w:val="00B84A04"/>
    <w:rsid w:val="00BA535A"/>
    <w:rsid w:val="00BD061B"/>
    <w:rsid w:val="00BF7DE0"/>
    <w:rsid w:val="00C108D0"/>
    <w:rsid w:val="00C21B37"/>
    <w:rsid w:val="00C63247"/>
    <w:rsid w:val="00CB78BF"/>
    <w:rsid w:val="00D31DE5"/>
    <w:rsid w:val="00D35D45"/>
    <w:rsid w:val="00D56B2F"/>
    <w:rsid w:val="00D9099A"/>
    <w:rsid w:val="00D9618D"/>
    <w:rsid w:val="00DD14FA"/>
    <w:rsid w:val="00DD1B32"/>
    <w:rsid w:val="00DD3671"/>
    <w:rsid w:val="00DE0E1B"/>
    <w:rsid w:val="00E311AC"/>
    <w:rsid w:val="00E50B06"/>
    <w:rsid w:val="00E52A9E"/>
    <w:rsid w:val="00E76B7D"/>
    <w:rsid w:val="00E83BAE"/>
    <w:rsid w:val="00EA20DE"/>
    <w:rsid w:val="00EB522A"/>
    <w:rsid w:val="00EE0471"/>
    <w:rsid w:val="00F5005D"/>
    <w:rsid w:val="00F747BC"/>
    <w:rsid w:val="00FB3B7D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3D7E9A"/>
  <w15:chartTrackingRefBased/>
  <w15:docId w15:val="{137270B3-CA7B-4546-92D7-6CB4390A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0DB"/>
  </w:style>
  <w:style w:type="paragraph" w:styleId="Nadpis1">
    <w:name w:val="heading 1"/>
    <w:basedOn w:val="Normln"/>
    <w:next w:val="Normln"/>
    <w:link w:val="Nadpis1Char"/>
    <w:uiPriority w:val="9"/>
    <w:qFormat/>
    <w:rsid w:val="00D96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1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961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9618D"/>
    <w:pPr>
      <w:outlineLvl w:val="9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642"/>
  </w:style>
  <w:style w:type="paragraph" w:styleId="Zpat">
    <w:name w:val="footer"/>
    <w:basedOn w:val="Normln"/>
    <w:link w:val="ZpatChar"/>
    <w:uiPriority w:val="99"/>
    <w:unhideWhenUsed/>
    <w:rsid w:val="003E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642"/>
  </w:style>
  <w:style w:type="character" w:styleId="Odkaznakoment">
    <w:name w:val="annotation reference"/>
    <w:basedOn w:val="Standardnpsmoodstavce"/>
    <w:semiHidden/>
    <w:unhideWhenUsed/>
    <w:rsid w:val="00D35D4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35D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35D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5D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5D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D4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5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10" ma:contentTypeDescription="Vytvoří nový dokument" ma:contentTypeScope="" ma:versionID="46b03f196b7006db5f4d4ba4331dc442">
  <xsd:schema xmlns:xsd="http://www.w3.org/2001/XMLSchema" xmlns:xs="http://www.w3.org/2001/XMLSchema" xmlns:p="http://schemas.microsoft.com/office/2006/metadata/properties" xmlns:ns3="352ce92f-50f3-4253-9fad-b6e5ea204dd5" targetNamespace="http://schemas.microsoft.com/office/2006/metadata/properties" ma:root="true" ma:fieldsID="cd10dc562e13cbd3cb26030f160ef4fe" ns3:_=""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B386B-0C5B-4034-92B1-D192906F6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A6029-FC27-4242-BAD5-62EDB1C77D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145B29-B1F6-478C-B7A8-E561276813E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2ce92f-50f3-4253-9fad-b6e5ea204dd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2CE006-C8EA-45C0-AAE5-510992C19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Vichta František Ing.</cp:lastModifiedBy>
  <cp:revision>11</cp:revision>
  <dcterms:created xsi:type="dcterms:W3CDTF">2023-10-30T08:22:00Z</dcterms:created>
  <dcterms:modified xsi:type="dcterms:W3CDTF">2024-12-12T10:10:00Z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