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F46A" w14:textId="3DBC29C6" w:rsidR="00760C2D" w:rsidRDefault="0099555F" w:rsidP="0099555F">
      <w:pPr>
        <w:pStyle w:val="Nzev"/>
      </w:pPr>
      <w:r>
        <w:t>Důvodová zpráva</w:t>
      </w:r>
    </w:p>
    <w:p w14:paraId="41F48967" w14:textId="2F5A445E" w:rsidR="0099555F" w:rsidRDefault="0099555F" w:rsidP="0099555F">
      <w:pPr>
        <w:pStyle w:val="Nadpis1"/>
      </w:pPr>
      <w:r>
        <w:t>Úvod</w:t>
      </w:r>
    </w:p>
    <w:p w14:paraId="7CD768A3" w14:textId="213B8E5C" w:rsidR="0099555F" w:rsidRDefault="0099555F" w:rsidP="0099555F">
      <w:pPr>
        <w:pStyle w:val="Nadpis2"/>
      </w:pPr>
      <w:r>
        <w:t>Legislativní rámec</w:t>
      </w:r>
    </w:p>
    <w:p w14:paraId="30F6363D" w14:textId="3AB03AC2" w:rsidR="002C59CF" w:rsidRDefault="002C59CF" w:rsidP="0036731E">
      <w:r>
        <w:t xml:space="preserve">Podle </w:t>
      </w:r>
      <w:r w:rsidR="00E65A54">
        <w:t xml:space="preserve">§ 1 zákona </w:t>
      </w:r>
      <w:r w:rsidR="00E65A54" w:rsidRPr="00E65A54">
        <w:t xml:space="preserve">č. 565/1990 Sb., o místních poplatcích, ve znění </w:t>
      </w:r>
      <w:r w:rsidR="0036731E">
        <w:t>zákona č. 252/2023 Sb.</w:t>
      </w:r>
      <w:r w:rsidR="00671261">
        <w:t>, tj. ve znění účinném od 1. 1. 2024</w:t>
      </w:r>
      <w:r w:rsidR="00E65A54" w:rsidRPr="00E65A54">
        <w:t xml:space="preserve"> (dále jen „zákon o místních poplatcích“)</w:t>
      </w:r>
      <w:r w:rsidR="00E65A54">
        <w:t xml:space="preserve"> může </w:t>
      </w:r>
      <w:r w:rsidR="00046466">
        <w:t>obec zavést tyto místní poplatky:</w:t>
      </w:r>
    </w:p>
    <w:p w14:paraId="15388A13" w14:textId="33E82EE9" w:rsidR="002C716F" w:rsidRDefault="002C716F" w:rsidP="002C716F">
      <w:pPr>
        <w:pStyle w:val="Bezmezer"/>
        <w:numPr>
          <w:ilvl w:val="0"/>
          <w:numId w:val="3"/>
        </w:numPr>
      </w:pPr>
      <w:r>
        <w:t xml:space="preserve">poplatek </w:t>
      </w:r>
      <w:r w:rsidRPr="00CC7E32">
        <w:rPr>
          <w:b/>
          <w:bCs/>
        </w:rPr>
        <w:t>ze psů</w:t>
      </w:r>
      <w:r w:rsidR="00E10F28">
        <w:t xml:space="preserve"> </w:t>
      </w:r>
      <w:r w:rsidR="00E10F28" w:rsidRPr="00151AF9">
        <w:rPr>
          <w:i/>
          <w:iCs/>
        </w:rPr>
        <w:t>(obecně závazn</w:t>
      </w:r>
      <w:r w:rsidR="00987E7B" w:rsidRPr="00151AF9">
        <w:rPr>
          <w:i/>
          <w:iCs/>
        </w:rPr>
        <w:t>á v</w:t>
      </w:r>
      <w:r w:rsidR="00E10F28" w:rsidRPr="00151AF9">
        <w:rPr>
          <w:i/>
          <w:iCs/>
        </w:rPr>
        <w:t>yhlášk</w:t>
      </w:r>
      <w:r w:rsidR="00987E7B" w:rsidRPr="00151AF9">
        <w:rPr>
          <w:i/>
          <w:iCs/>
        </w:rPr>
        <w:t xml:space="preserve">a </w:t>
      </w:r>
      <w:r w:rsidR="00E10F28" w:rsidRPr="00151AF9">
        <w:rPr>
          <w:i/>
          <w:iCs/>
        </w:rPr>
        <w:t xml:space="preserve">č. 23/2003 Sb. hl. m. </w:t>
      </w:r>
      <w:r w:rsidR="00987E7B" w:rsidRPr="00151AF9">
        <w:rPr>
          <w:i/>
          <w:iCs/>
        </w:rPr>
        <w:t>Prahy, o místním poplatku ze</w:t>
      </w:r>
      <w:r w:rsidR="008F5A63">
        <w:rPr>
          <w:i/>
          <w:iCs/>
        </w:rPr>
        <w:t> </w:t>
      </w:r>
      <w:r w:rsidR="00987E7B" w:rsidRPr="00151AF9">
        <w:rPr>
          <w:i/>
          <w:iCs/>
        </w:rPr>
        <w:t>psů, ve znění pozdě</w:t>
      </w:r>
      <w:r w:rsidR="00E10F28" w:rsidRPr="00151AF9">
        <w:rPr>
          <w:i/>
          <w:iCs/>
        </w:rPr>
        <w:t>)</w:t>
      </w:r>
      <w:r>
        <w:t>,</w:t>
      </w:r>
    </w:p>
    <w:p w14:paraId="3515BF76" w14:textId="17B5B2AC" w:rsidR="002C716F" w:rsidRDefault="002C716F" w:rsidP="002C716F">
      <w:pPr>
        <w:pStyle w:val="Bezmezer"/>
        <w:numPr>
          <w:ilvl w:val="0"/>
          <w:numId w:val="3"/>
        </w:numPr>
      </w:pPr>
      <w:r>
        <w:t xml:space="preserve">poplatek </w:t>
      </w:r>
      <w:r w:rsidRPr="00CC7E32">
        <w:rPr>
          <w:b/>
          <w:bCs/>
        </w:rPr>
        <w:t>z</w:t>
      </w:r>
      <w:r w:rsidR="00987E7B" w:rsidRPr="00CC7E32">
        <w:rPr>
          <w:b/>
          <w:bCs/>
        </w:rPr>
        <w:t> </w:t>
      </w:r>
      <w:r w:rsidRPr="00CC7E32">
        <w:rPr>
          <w:b/>
          <w:bCs/>
        </w:rPr>
        <w:t>pobytu</w:t>
      </w:r>
      <w:r w:rsidR="00987E7B">
        <w:t xml:space="preserve"> </w:t>
      </w:r>
      <w:r w:rsidR="00987E7B" w:rsidRPr="00151AF9">
        <w:rPr>
          <w:i/>
          <w:iCs/>
        </w:rPr>
        <w:t>(</w:t>
      </w:r>
      <w:r w:rsidR="00DC3AD8" w:rsidRPr="00151AF9">
        <w:rPr>
          <w:i/>
          <w:iCs/>
        </w:rPr>
        <w:t>obecně závazná vyhláška</w:t>
      </w:r>
      <w:r w:rsidR="00A83024" w:rsidRPr="00151AF9">
        <w:rPr>
          <w:i/>
          <w:iCs/>
        </w:rPr>
        <w:t xml:space="preserve"> č. 18/2019 Sb. hl. m. Prahy, o místním poplatku z</w:t>
      </w:r>
      <w:r w:rsidR="00C95789">
        <w:rPr>
          <w:i/>
          <w:iCs/>
        </w:rPr>
        <w:t> </w:t>
      </w:r>
      <w:r w:rsidR="00A83024" w:rsidRPr="00151AF9">
        <w:rPr>
          <w:i/>
          <w:iCs/>
        </w:rPr>
        <w:t>pobytu</w:t>
      </w:r>
      <w:r w:rsidR="00987E7B" w:rsidRPr="00151AF9">
        <w:rPr>
          <w:i/>
          <w:iCs/>
        </w:rPr>
        <w:t>)</w:t>
      </w:r>
      <w:r>
        <w:t>,</w:t>
      </w:r>
    </w:p>
    <w:p w14:paraId="1E5EF36D" w14:textId="412E099A" w:rsidR="002C716F" w:rsidRDefault="002C716F" w:rsidP="002C716F">
      <w:pPr>
        <w:pStyle w:val="Bezmezer"/>
        <w:numPr>
          <w:ilvl w:val="0"/>
          <w:numId w:val="3"/>
        </w:numPr>
      </w:pPr>
      <w:r>
        <w:t xml:space="preserve">poplatek </w:t>
      </w:r>
      <w:r w:rsidRPr="00CC7E32">
        <w:rPr>
          <w:b/>
          <w:bCs/>
        </w:rPr>
        <w:t>za užívání veřejného prostranství</w:t>
      </w:r>
      <w:r w:rsidR="00DC3AD8">
        <w:t xml:space="preserve"> </w:t>
      </w:r>
      <w:r w:rsidR="00DC3AD8" w:rsidRPr="00151AF9">
        <w:rPr>
          <w:i/>
          <w:iCs/>
        </w:rPr>
        <w:t xml:space="preserve">(obecně závazná vyhláška č. 5/2011 Sb. hl. m. Prahy, </w:t>
      </w:r>
      <w:r w:rsidR="00A83024" w:rsidRPr="00151AF9">
        <w:rPr>
          <w:i/>
          <w:iCs/>
        </w:rPr>
        <w:t>o místním poplatku za užívání veřejného prostranství</w:t>
      </w:r>
      <w:r w:rsidR="00DC3AD8" w:rsidRPr="00151AF9">
        <w:rPr>
          <w:i/>
          <w:iCs/>
        </w:rPr>
        <w:t>)</w:t>
      </w:r>
      <w:r>
        <w:t>,</w:t>
      </w:r>
    </w:p>
    <w:p w14:paraId="3BAD631B" w14:textId="051074DB" w:rsidR="002C716F" w:rsidRDefault="002C716F" w:rsidP="00816D7B">
      <w:pPr>
        <w:pStyle w:val="Bezmezer"/>
        <w:numPr>
          <w:ilvl w:val="0"/>
          <w:numId w:val="3"/>
        </w:numPr>
      </w:pPr>
      <w:r>
        <w:t xml:space="preserve">poplatek </w:t>
      </w:r>
      <w:r w:rsidRPr="00CC7E32">
        <w:rPr>
          <w:b/>
          <w:bCs/>
        </w:rPr>
        <w:t>ze vstupného</w:t>
      </w:r>
      <w:r w:rsidR="00816D7B">
        <w:t xml:space="preserve"> </w:t>
      </w:r>
      <w:r w:rsidR="00816D7B" w:rsidRPr="00151AF9">
        <w:rPr>
          <w:i/>
          <w:iCs/>
        </w:rPr>
        <w:t>(obecně závazná vyhláška č. 10/2011 Sb. hl. m. Prahy, o místním poplatku ze vstupného)</w:t>
      </w:r>
      <w:r>
        <w:t>,</w:t>
      </w:r>
    </w:p>
    <w:p w14:paraId="05BFD9BB" w14:textId="68C93374" w:rsidR="002C716F" w:rsidRDefault="002C716F" w:rsidP="002C716F">
      <w:pPr>
        <w:pStyle w:val="Bezmezer"/>
        <w:numPr>
          <w:ilvl w:val="0"/>
          <w:numId w:val="3"/>
        </w:numPr>
      </w:pPr>
      <w:r>
        <w:t xml:space="preserve">poplatek </w:t>
      </w:r>
      <w:r w:rsidRPr="00CC7E32">
        <w:rPr>
          <w:b/>
          <w:bCs/>
          <w:u w:val="single"/>
        </w:rPr>
        <w:t>za povolení k vjezdu s motorovým vozidlem</w:t>
      </w:r>
      <w:r w:rsidRPr="00CC7E32">
        <w:rPr>
          <w:b/>
          <w:bCs/>
        </w:rPr>
        <w:t xml:space="preserve"> </w:t>
      </w:r>
      <w:r w:rsidRPr="00CC7E32">
        <w:t>do vybraných míst a částí měst</w:t>
      </w:r>
      <w:r w:rsidR="00601892">
        <w:t xml:space="preserve"> </w:t>
      </w:r>
      <w:r w:rsidR="00601892" w:rsidRPr="00151AF9">
        <w:rPr>
          <w:i/>
          <w:iCs/>
        </w:rPr>
        <w:t>(zavedení</w:t>
      </w:r>
      <w:r w:rsidR="00991085" w:rsidRPr="00151AF9">
        <w:rPr>
          <w:i/>
          <w:iCs/>
        </w:rPr>
        <w:t xml:space="preserve"> je </w:t>
      </w:r>
      <w:r w:rsidR="00601892" w:rsidRPr="00151AF9">
        <w:rPr>
          <w:i/>
          <w:iCs/>
        </w:rPr>
        <w:t>předmětem tohoto návrhu)</w:t>
      </w:r>
      <w:r>
        <w:t>,</w:t>
      </w:r>
    </w:p>
    <w:p w14:paraId="2C108306" w14:textId="62301426" w:rsidR="002C716F" w:rsidRDefault="002C716F" w:rsidP="002C716F">
      <w:pPr>
        <w:pStyle w:val="Bezmezer"/>
        <w:numPr>
          <w:ilvl w:val="0"/>
          <w:numId w:val="3"/>
        </w:numPr>
      </w:pPr>
      <w:r>
        <w:t xml:space="preserve">poplatek </w:t>
      </w:r>
      <w:r w:rsidRPr="00CC7E32">
        <w:rPr>
          <w:b/>
          <w:bCs/>
        </w:rPr>
        <w:t>za zhodnocení stavebního pozemku</w:t>
      </w:r>
      <w:r>
        <w:t xml:space="preserve"> možností jeho připojení na stavbu vodovodu nebo kanalizace</w:t>
      </w:r>
      <w:r w:rsidR="00991085">
        <w:t xml:space="preserve"> </w:t>
      </w:r>
      <w:r w:rsidR="00991085" w:rsidRPr="00151AF9">
        <w:rPr>
          <w:i/>
          <w:iCs/>
        </w:rPr>
        <w:t>(nezaveden</w:t>
      </w:r>
      <w:r w:rsidR="0025365E">
        <w:rPr>
          <w:i/>
          <w:iCs/>
        </w:rPr>
        <w:t xml:space="preserve"> </w:t>
      </w:r>
      <w:r w:rsidR="00151AF9">
        <w:rPr>
          <w:i/>
          <w:iCs/>
        </w:rPr>
        <w:t>na území hl. m. Prahy</w:t>
      </w:r>
      <w:r w:rsidR="00991085" w:rsidRPr="00151AF9">
        <w:rPr>
          <w:i/>
          <w:iCs/>
        </w:rPr>
        <w:t>)</w:t>
      </w:r>
      <w:r>
        <w:t>,</w:t>
      </w:r>
    </w:p>
    <w:p w14:paraId="107F377A" w14:textId="6FFC3BA8" w:rsidR="002C716F" w:rsidRDefault="002C716F" w:rsidP="002C716F">
      <w:pPr>
        <w:pStyle w:val="Bezmezer"/>
        <w:numPr>
          <w:ilvl w:val="0"/>
          <w:numId w:val="3"/>
        </w:numPr>
        <w:spacing w:after="320"/>
        <w:ind w:left="714" w:hanging="357"/>
      </w:pPr>
      <w:r>
        <w:t xml:space="preserve">poplatky </w:t>
      </w:r>
      <w:r w:rsidRPr="00CC7E32">
        <w:rPr>
          <w:b/>
          <w:bCs/>
        </w:rPr>
        <w:t>za komunální odpad</w:t>
      </w:r>
      <w:r w:rsidR="00D26245">
        <w:t xml:space="preserve"> </w:t>
      </w:r>
      <w:r w:rsidR="00D26245" w:rsidRPr="00D26245">
        <w:rPr>
          <w:i/>
          <w:iCs/>
        </w:rPr>
        <w:t>(</w:t>
      </w:r>
      <w:r w:rsidR="002A3E7F">
        <w:rPr>
          <w:i/>
          <w:iCs/>
        </w:rPr>
        <w:t xml:space="preserve">obecně závazná vyhláška č. </w:t>
      </w:r>
      <w:r w:rsidR="002A3E7F" w:rsidRPr="002A3E7F">
        <w:rPr>
          <w:i/>
          <w:iCs/>
        </w:rPr>
        <w:t>17/2021</w:t>
      </w:r>
      <w:r w:rsidR="002A3E7F">
        <w:rPr>
          <w:i/>
          <w:iCs/>
        </w:rPr>
        <w:t xml:space="preserve"> Sb. hl. m. Prahy, </w:t>
      </w:r>
      <w:r w:rsidR="002A3E7F" w:rsidRPr="002A3E7F">
        <w:rPr>
          <w:i/>
          <w:iCs/>
        </w:rPr>
        <w:t>o místním poplatku za odkládání komunálního odpadu z nemovité věci</w:t>
      </w:r>
      <w:r w:rsidR="00D26245" w:rsidRPr="00D26245">
        <w:rPr>
          <w:i/>
          <w:iCs/>
        </w:rPr>
        <w:t>)</w:t>
      </w:r>
      <w:r>
        <w:t>.</w:t>
      </w:r>
    </w:p>
    <w:p w14:paraId="55294EE9" w14:textId="1926D218" w:rsidR="00CC7E32" w:rsidRDefault="00CC7E32" w:rsidP="00155070">
      <w:r>
        <w:t>Z uvedených místních poplatků</w:t>
      </w:r>
      <w:r w:rsidR="00EC6525">
        <w:t xml:space="preserve"> není v hlavním městě Praze (dále jen „hl. m. Praha“) </w:t>
      </w:r>
      <w:r w:rsidR="001B40F6">
        <w:t xml:space="preserve">zaveden pouze </w:t>
      </w:r>
      <w:r w:rsidR="001B40F6" w:rsidRPr="001B40F6">
        <w:t xml:space="preserve">poplatek za zhodnocení stavebního pozemku možností jeho připojení na stavbu vodovodu nebo </w:t>
      </w:r>
      <w:proofErr w:type="gramStart"/>
      <w:r w:rsidR="001B40F6" w:rsidRPr="001B40F6">
        <w:t>kanalizace</w:t>
      </w:r>
      <w:proofErr w:type="gramEnd"/>
      <w:r w:rsidR="001B40F6" w:rsidRPr="001B40F6">
        <w:t xml:space="preserve"> </w:t>
      </w:r>
      <w:r w:rsidR="001B40F6">
        <w:t>a právě poplatek</w:t>
      </w:r>
      <w:r w:rsidR="001B40F6" w:rsidRPr="001B40F6">
        <w:t xml:space="preserve"> za povolení k vjezdu s motorovým vozidlem do vybraných míst a částí měst</w:t>
      </w:r>
      <w:r w:rsidR="005B6650">
        <w:t>, jehož zavedení je předmětem tohoto návrhu</w:t>
      </w:r>
      <w:r w:rsidR="001B40F6">
        <w:t xml:space="preserve">. </w:t>
      </w:r>
    </w:p>
    <w:p w14:paraId="0AB108C2" w14:textId="3C799044" w:rsidR="00E34CA1" w:rsidRPr="00850EE0" w:rsidRDefault="00E32716" w:rsidP="00517045">
      <w:r>
        <w:t xml:space="preserve">Podle § 10 </w:t>
      </w:r>
      <w:r w:rsidR="00724206">
        <w:t xml:space="preserve">odst. 1 </w:t>
      </w:r>
      <w:r>
        <w:t>zákona o místních poplatcích</w:t>
      </w:r>
      <w:r w:rsidR="004B4DF2">
        <w:t>:</w:t>
      </w:r>
      <w:r w:rsidR="00EC2E4E">
        <w:t xml:space="preserve"> </w:t>
      </w:r>
      <w:r w:rsidR="00724206" w:rsidRPr="00724206">
        <w:rPr>
          <w:rFonts w:cstheme="minorHAnsi"/>
          <w:i/>
          <w:iCs/>
        </w:rPr>
        <w:t>»</w:t>
      </w:r>
      <w:r w:rsidR="00724206" w:rsidRPr="00724206">
        <w:rPr>
          <w:i/>
          <w:iCs/>
        </w:rPr>
        <w:t>Poplatek za povolení k vjezdu s motorovým vozidlem</w:t>
      </w:r>
      <w:r w:rsidR="00ED469A">
        <w:rPr>
          <w:i/>
          <w:iCs/>
        </w:rPr>
        <w:t xml:space="preserve"> </w:t>
      </w:r>
      <w:r w:rsidR="00724206" w:rsidRPr="00724206">
        <w:rPr>
          <w:i/>
          <w:iCs/>
        </w:rPr>
        <w:t xml:space="preserve">do vybraných míst a částí měst (dále jen </w:t>
      </w:r>
      <w:r w:rsidR="00794CAB">
        <w:rPr>
          <w:i/>
          <w:iCs/>
        </w:rPr>
        <w:t>„</w:t>
      </w:r>
      <w:r w:rsidR="00724206" w:rsidRPr="00724206">
        <w:rPr>
          <w:i/>
          <w:iCs/>
        </w:rPr>
        <w:t>vybraná místa</w:t>
      </w:r>
      <w:r w:rsidR="00794CAB">
        <w:rPr>
          <w:i/>
          <w:iCs/>
        </w:rPr>
        <w:t>“</w:t>
      </w:r>
      <w:r w:rsidR="00724206" w:rsidRPr="00724206">
        <w:rPr>
          <w:i/>
          <w:iCs/>
        </w:rPr>
        <w:t>) platí fyzická nebo právnická osoba, které bylo vydáno povolení k vjezdu s motorovým vozidlem do vybraných míst. Poplatek neplatí fyzické osoby přihlášené nebo vlastnící nemovitosti ve vybraném místě, osoby jim blízké,</w:t>
      </w:r>
      <w:r w:rsidR="00ED469A">
        <w:rPr>
          <w:i/>
          <w:iCs/>
        </w:rPr>
        <w:t xml:space="preserve"> </w:t>
      </w:r>
      <w:r w:rsidR="00724206" w:rsidRPr="00724206">
        <w:rPr>
          <w:i/>
          <w:iCs/>
        </w:rPr>
        <w:t>manželé těchto osob a</w:t>
      </w:r>
      <w:r w:rsidR="00AB5E19">
        <w:rPr>
          <w:i/>
          <w:iCs/>
        </w:rPr>
        <w:t> </w:t>
      </w:r>
      <w:r w:rsidR="00724206" w:rsidRPr="00724206">
        <w:rPr>
          <w:i/>
          <w:iCs/>
        </w:rPr>
        <w:t xml:space="preserve">jejich děti. Dále osoby, které ve vybraném místě užívají nemovitost k podnikání nebo veřejně prospěšné </w:t>
      </w:r>
      <w:r w:rsidR="00724206" w:rsidRPr="004B4DF2">
        <w:rPr>
          <w:i/>
          <w:iCs/>
        </w:rPr>
        <w:t>činnosti nebo osoby, které jsou držiteli průkazu ZTP nebo ZTP/P a jejich průvodci.</w:t>
      </w:r>
      <w:r w:rsidR="00EC2E4E">
        <w:rPr>
          <w:rFonts w:cstheme="minorHAnsi"/>
          <w:i/>
          <w:iCs/>
        </w:rPr>
        <w:t>«</w:t>
      </w:r>
      <w:r w:rsidR="00E711C9">
        <w:rPr>
          <w:rFonts w:cstheme="minorHAnsi"/>
        </w:rPr>
        <w:t xml:space="preserve"> </w:t>
      </w:r>
    </w:p>
    <w:p w14:paraId="70FF6E47" w14:textId="3F8EAA93" w:rsidR="00AF6DD9" w:rsidRDefault="00271E4B" w:rsidP="00517045">
      <w:r>
        <w:t xml:space="preserve">Poplatek </w:t>
      </w:r>
      <w:r w:rsidR="00977908" w:rsidRPr="00977908">
        <w:t>za povolení k vjezdu s motorovým vozidlem do vybraných míst a částí měs</w:t>
      </w:r>
      <w:r w:rsidR="00977908">
        <w:t xml:space="preserve">t </w:t>
      </w:r>
      <w:r w:rsidR="001F3E0E">
        <w:t xml:space="preserve">zavedený zákonem o místních poplatcích s účinností od </w:t>
      </w:r>
      <w:r w:rsidR="00FC1A83">
        <w:t xml:space="preserve">1. ledna 1991 </w:t>
      </w:r>
      <w:r w:rsidR="00FC46A8">
        <w:t xml:space="preserve">věcně </w:t>
      </w:r>
      <w:r w:rsidR="000175A1">
        <w:t xml:space="preserve">navazuje na </w:t>
      </w:r>
      <w:r w:rsidR="00FC46A8">
        <w:t xml:space="preserve">podobný poplatek vybíraný </w:t>
      </w:r>
      <w:r w:rsidR="008B7FDD" w:rsidRPr="008B7FDD">
        <w:t>v</w:t>
      </w:r>
      <w:r w:rsidR="008B7FDD">
        <w:t> </w:t>
      </w:r>
      <w:r w:rsidR="008B7FDD" w:rsidRPr="008B7FDD">
        <w:t>oblasti Krkonošského národního parku</w:t>
      </w:r>
      <w:r w:rsidR="00676E63">
        <w:rPr>
          <w:rStyle w:val="Znakapoznpodarou"/>
        </w:rPr>
        <w:footnoteReference w:id="2"/>
      </w:r>
      <w:r w:rsidR="00676E63" w:rsidRPr="00676E63">
        <w:rPr>
          <w:vertAlign w:val="superscript"/>
        </w:rPr>
        <w:t>)</w:t>
      </w:r>
      <w:r w:rsidR="00840C03">
        <w:t>.</w:t>
      </w:r>
      <w:r w:rsidR="0086740C">
        <w:t xml:space="preserve"> </w:t>
      </w:r>
      <w:r w:rsidR="009710D3">
        <w:t xml:space="preserve">Hmotněprávní úprava poplatku je stabilní, nad rámec </w:t>
      </w:r>
      <w:r w:rsidR="009710D3">
        <w:lastRenderedPageBreak/>
        <w:t>legislativně technických úprav byla n</w:t>
      </w:r>
      <w:r w:rsidR="001A6023">
        <w:t>ovelou č. 170/2017 Sb. zvýšena maximální sazba poplatku ze</w:t>
      </w:r>
      <w:r w:rsidR="002152A3">
        <w:t> </w:t>
      </w:r>
      <w:r w:rsidR="001A6023">
        <w:t>20</w:t>
      </w:r>
      <w:r w:rsidR="002152A3">
        <w:t> </w:t>
      </w:r>
      <w:r w:rsidR="001A6023">
        <w:t xml:space="preserve">Kč na až 200 Kč za každý započatý den a </w:t>
      </w:r>
      <w:r w:rsidR="00B2176F">
        <w:t xml:space="preserve">upraveno </w:t>
      </w:r>
      <w:r w:rsidR="009529E7">
        <w:t>osvobození p</w:t>
      </w:r>
      <w:r w:rsidR="004F1CF0">
        <w:t>r</w:t>
      </w:r>
      <w:r w:rsidR="009529E7">
        <w:t xml:space="preserve">o osoby </w:t>
      </w:r>
      <w:r w:rsidR="00774925">
        <w:t>užívající</w:t>
      </w:r>
      <w:r w:rsidR="00866BE2">
        <w:t xml:space="preserve"> </w:t>
      </w:r>
      <w:r w:rsidR="00866BE2" w:rsidRPr="00866BE2">
        <w:t>ve vybraném místě užívají nemovitost k podnikání nebo veřejně prospěšné činnosti</w:t>
      </w:r>
      <w:r w:rsidR="00221D7D">
        <w:t>.</w:t>
      </w:r>
    </w:p>
    <w:p w14:paraId="7A6A2B96" w14:textId="07E43FAA" w:rsidR="00C30AA3" w:rsidRDefault="00BE5617" w:rsidP="00517045">
      <w:r>
        <w:t xml:space="preserve">Ze všech druhů místních poplatků </w:t>
      </w:r>
      <w:r w:rsidR="003C78B4">
        <w:t xml:space="preserve">jej </w:t>
      </w:r>
      <w:r w:rsidR="007431D2">
        <w:t xml:space="preserve">zřejmě </w:t>
      </w:r>
      <w:r w:rsidR="003C78B4">
        <w:t>zavedlo nejmenší množství ob</w:t>
      </w:r>
      <w:r w:rsidR="00955DCB">
        <w:t xml:space="preserve">cí, ve Sbírce právních předpisů územních samosprávných celků a některých správních úřadu </w:t>
      </w:r>
      <w:r w:rsidR="0094749B">
        <w:t>je evidováno jen zhruba 30 platných obecně závazných vyhlášek.</w:t>
      </w:r>
      <w:r w:rsidR="00857E00">
        <w:rPr>
          <w:rStyle w:val="Znakapoznpodarou"/>
        </w:rPr>
        <w:footnoteReference w:id="3"/>
      </w:r>
      <w:r w:rsidR="00857E00" w:rsidRPr="00857E00">
        <w:rPr>
          <w:vertAlign w:val="superscript"/>
        </w:rPr>
        <w:t>)</w:t>
      </w:r>
      <w:r w:rsidR="00F82C21">
        <w:t xml:space="preserve"> </w:t>
      </w:r>
      <w:r w:rsidR="003C268D">
        <w:t xml:space="preserve">Důvodem </w:t>
      </w:r>
      <w:r w:rsidR="00265823">
        <w:t xml:space="preserve">může být </w:t>
      </w:r>
      <w:r w:rsidR="007565AA">
        <w:t xml:space="preserve">jak příliš </w:t>
      </w:r>
      <w:r w:rsidR="00F96576">
        <w:t xml:space="preserve">široké a </w:t>
      </w:r>
      <w:r w:rsidR="004101C7">
        <w:t>komplikované zákonné osvobození</w:t>
      </w:r>
      <w:r w:rsidR="007565AA">
        <w:t>, tak</w:t>
      </w:r>
      <w:r w:rsidR="008F092E">
        <w:t xml:space="preserve"> minimální zpoplatněná časová jednotka jeden </w:t>
      </w:r>
      <w:r w:rsidR="00C446FB">
        <w:t>den</w:t>
      </w:r>
      <w:r w:rsidR="009257BB">
        <w:t>.</w:t>
      </w:r>
      <w:r w:rsidR="00C30AA3">
        <w:t xml:space="preserve"> Některé </w:t>
      </w:r>
      <w:r w:rsidR="007E5079">
        <w:t xml:space="preserve">municipality </w:t>
      </w:r>
      <w:r w:rsidR="00AD65F8">
        <w:t xml:space="preserve">tak </w:t>
      </w:r>
      <w:r w:rsidR="00C3403E">
        <w:t>fakticky zpoplatňují vjez</w:t>
      </w:r>
      <w:r w:rsidR="00AD65F8">
        <w:t xml:space="preserve">d do vybraných míst nikoliv </w:t>
      </w:r>
      <w:r w:rsidR="003637DF">
        <w:t xml:space="preserve">místním poplatkem, ale na </w:t>
      </w:r>
      <w:r w:rsidR="00B10649">
        <w:t xml:space="preserve">základě nařízení podle § </w:t>
      </w:r>
      <w:r w:rsidR="00791B03">
        <w:t>23 zákona č.</w:t>
      </w:r>
      <w:r w:rsidR="00233FBE">
        <w:t> </w:t>
      </w:r>
      <w:r w:rsidR="00791B03">
        <w:t xml:space="preserve">13/1997 Sb., </w:t>
      </w:r>
      <w:r w:rsidR="00F97CBA" w:rsidRPr="00F97CBA">
        <w:t>o pozemních komunikacích</w:t>
      </w:r>
      <w:r w:rsidR="00F97CBA">
        <w:t>, ve znění</w:t>
      </w:r>
      <w:r w:rsidR="00233FBE">
        <w:t xml:space="preserve"> pozdějších předpisů.</w:t>
      </w:r>
      <w:r w:rsidR="000405A9">
        <w:rPr>
          <w:rStyle w:val="Znakapoznpodarou"/>
        </w:rPr>
        <w:footnoteReference w:id="4"/>
      </w:r>
      <w:r w:rsidR="000405A9" w:rsidRPr="000405A9">
        <w:rPr>
          <w:vertAlign w:val="superscript"/>
        </w:rPr>
        <w:t>)</w:t>
      </w:r>
      <w:r w:rsidR="000405A9">
        <w:t xml:space="preserve"> </w:t>
      </w:r>
    </w:p>
    <w:p w14:paraId="6FC182E7" w14:textId="119AE3AB" w:rsidR="00C93DBB" w:rsidRDefault="00417527" w:rsidP="002F4C24">
      <w:r>
        <w:rPr>
          <w:i/>
          <w:iCs/>
        </w:rPr>
        <w:t>„</w:t>
      </w:r>
      <w:r w:rsidR="00C93DBB" w:rsidRPr="00417527">
        <w:rPr>
          <w:i/>
          <w:iCs/>
        </w:rPr>
        <w:t xml:space="preserve">Poplatek má vedle rozpočtového významu též roli regulační – má napomoci limitovat pohyb motorových vozidel v konkrétních částech obce, zejména historických apod., a tím v nich vytvářet vhodnější prostředí. Jde o ochranu </w:t>
      </w:r>
      <w:r w:rsidR="00236625" w:rsidRPr="00417527">
        <w:rPr>
          <w:i/>
          <w:iCs/>
        </w:rPr>
        <w:t xml:space="preserve">vymezeného území, smyslem je též omezení pohybu motorových vozidel v určité lokalitě. Zpoplatněním povolení </w:t>
      </w:r>
      <w:r w:rsidRPr="00417527">
        <w:t>[…]</w:t>
      </w:r>
      <w:r w:rsidRPr="00417527">
        <w:rPr>
          <w:i/>
          <w:iCs/>
        </w:rPr>
        <w:t xml:space="preserve"> získává tento poplatek spíše charakter poplatku správního.“</w:t>
      </w:r>
      <w:r w:rsidR="0015333A">
        <w:t xml:space="preserve"> (</w:t>
      </w:r>
      <w:r w:rsidR="00596C7B" w:rsidRPr="00596C7B">
        <w:t xml:space="preserve">PELC, Vladimír. </w:t>
      </w:r>
      <w:r w:rsidR="00596C7B" w:rsidRPr="00596C7B">
        <w:rPr>
          <w:i/>
          <w:iCs/>
        </w:rPr>
        <w:t>Místní poplatky: Oprávnění obcí. Povinnosti podnikatelů, živnostníků a</w:t>
      </w:r>
      <w:r w:rsidR="00E36848">
        <w:rPr>
          <w:i/>
          <w:iCs/>
        </w:rPr>
        <w:t> </w:t>
      </w:r>
      <w:r w:rsidR="00596C7B" w:rsidRPr="00596C7B">
        <w:rPr>
          <w:i/>
          <w:iCs/>
        </w:rPr>
        <w:t>občanů. Praktická příručka pro obce</w:t>
      </w:r>
      <w:r w:rsidR="00596C7B" w:rsidRPr="00596C7B">
        <w:t>. 2. vyd. Praha: C. H. Beck, 2013. Právní praxe. ISBN 978-80-7400-454-4.</w:t>
      </w:r>
      <w:r w:rsidR="0015333A">
        <w:t>)</w:t>
      </w:r>
    </w:p>
    <w:p w14:paraId="3464E165" w14:textId="1E51FC2F" w:rsidR="006C5139" w:rsidRDefault="006C5139" w:rsidP="006C5139">
      <w:r>
        <w:t>Podle § 14 zákona o místních poplatcích se poplatek zavádí obecně závaznou vyhláško</w:t>
      </w:r>
      <w:r w:rsidR="00AD7CA1">
        <w:t>u</w:t>
      </w:r>
      <w:r>
        <w:t>, v</w:t>
      </w:r>
      <w:r w:rsidR="00AD7CA1">
        <w:t> </w:t>
      </w:r>
      <w:r>
        <w:t>níž</w:t>
      </w:r>
      <w:r w:rsidR="00AD7CA1">
        <w:t> </w:t>
      </w:r>
      <w:r>
        <w:t>se</w:t>
      </w:r>
      <w:r w:rsidR="00AD7CA1">
        <w:t> </w:t>
      </w:r>
      <w:r>
        <w:t>povinně upraví sazba poplatku, lhůta pro podání ohlášení a splatnost poplatku. Lze upravit další osvobození od</w:t>
      </w:r>
      <w:r w:rsidR="002152A3">
        <w:t> </w:t>
      </w:r>
      <w:r>
        <w:t>poplatku (nad rámec zákona), úlevu na poplatku, vyloučení povinnosti podat ohlášení, paušální částku poplatku (o</w:t>
      </w:r>
      <w:r w:rsidRPr="00F60001">
        <w:t>bec může po dohodě s poplatníkem stanovit poplatek paušální částkou</w:t>
      </w:r>
      <w:r>
        <w:t>, např.</w:t>
      </w:r>
      <w:r w:rsidR="00AD7CA1">
        <w:t> </w:t>
      </w:r>
      <w:r>
        <w:t>za</w:t>
      </w:r>
      <w:r w:rsidR="002152A3">
        <w:t> </w:t>
      </w:r>
      <w:r>
        <w:t>kalendářní týden, měsíc, rok) a případně i způsob její volby, další způsob placení a jemu odpovídající den platby nebo delší lhůtu pro oznámení změn v podaném ohlášení</w:t>
      </w:r>
      <w:r w:rsidR="005A7F67">
        <w:t>.</w:t>
      </w:r>
    </w:p>
    <w:p w14:paraId="77420A8B" w14:textId="3E049556" w:rsidR="00E717CA" w:rsidRPr="002D28DE" w:rsidRDefault="00C44206" w:rsidP="002F4C24">
      <w:r>
        <w:t xml:space="preserve">Klíčovým bodem zavedení </w:t>
      </w:r>
      <w:r w:rsidR="00532276" w:rsidRPr="00532276">
        <w:t xml:space="preserve">poplatku </w:t>
      </w:r>
      <w:r w:rsidR="00532276">
        <w:t>je určení vybraných míst</w:t>
      </w:r>
      <w:r w:rsidR="00E36848">
        <w:t xml:space="preserve"> jako povinná náležitost obecně závazné vyhlášky (§ 14 odst. 4 zákona o místních poplatcích). </w:t>
      </w:r>
      <w:r w:rsidR="00E36848" w:rsidRPr="00E36848">
        <w:rPr>
          <w:i/>
          <w:iCs/>
        </w:rPr>
        <w:t>„</w:t>
      </w:r>
      <w:r w:rsidRPr="00E36848">
        <w:rPr>
          <w:i/>
          <w:iCs/>
        </w:rPr>
        <w:t>Za vybraná místa (jež zákon nedefinuje) lze</w:t>
      </w:r>
      <w:r w:rsidR="002152A3">
        <w:rPr>
          <w:i/>
          <w:iCs/>
        </w:rPr>
        <w:t> </w:t>
      </w:r>
      <w:r w:rsidRPr="00E36848">
        <w:rPr>
          <w:i/>
          <w:iCs/>
        </w:rPr>
        <w:t>na</w:t>
      </w:r>
      <w:r w:rsidR="002152A3">
        <w:rPr>
          <w:i/>
          <w:iCs/>
        </w:rPr>
        <w:t> </w:t>
      </w:r>
      <w:r w:rsidRPr="00E36848">
        <w:rPr>
          <w:i/>
          <w:iCs/>
        </w:rPr>
        <w:t>základě gramatického a věcného výkladu pojmu považovat ucelenější, zpravidla osídlené lokality, které s okolím ony vybrané pozemní komunikace jako dopravní cesty spojují (viz nález Ústavního soudu sp. zn. Pl. ÚS 23/2000). Místní poplatek není nástrojem, podle něhož lze zpoplatnit užívání jakékoliv komunikace. Má umožnit regulaci provozu motorových vozidel v historicky cenných či jinak památkově chráněných nebo urbanisticky významných částech. Za vybraná místa nelze považovat např. most přes řeku a úsek silnice spojující dvě obce. Základním předpokladem je, že se jedná o komunikace, na které je jinak vjezd zakázán příslušnou dopravní značkou (zákaz vjezdu všech motorových vozidel) s</w:t>
      </w:r>
      <w:r w:rsidR="00122648">
        <w:rPr>
          <w:i/>
          <w:iCs/>
        </w:rPr>
        <w:t> </w:t>
      </w:r>
      <w:r w:rsidRPr="00E36848">
        <w:rPr>
          <w:i/>
          <w:iCs/>
        </w:rPr>
        <w:t>dodatkovou tabulkou povolující vjezd motorových vozidel po zaplacení místního poplatku.</w:t>
      </w:r>
      <w:r w:rsidR="00E36848" w:rsidRPr="00E36848">
        <w:rPr>
          <w:i/>
          <w:iCs/>
        </w:rPr>
        <w:t>“</w:t>
      </w:r>
      <w:r w:rsidR="002D28DE">
        <w:t xml:space="preserve"> (</w:t>
      </w:r>
      <w:r w:rsidR="0001750B">
        <w:t xml:space="preserve">Ministerstvo vnitra. </w:t>
      </w:r>
      <w:r w:rsidR="00874023" w:rsidRPr="00874023">
        <w:t xml:space="preserve">Právní výklad k místnímu poplatku za povolení k vjezdu s motorovým vozidlem </w:t>
      </w:r>
      <w:r w:rsidR="00874023" w:rsidRPr="00874023">
        <w:lastRenderedPageBreak/>
        <w:t>do vybraných míst a částí měs</w:t>
      </w:r>
      <w:r w:rsidR="005C7EA8">
        <w:t xml:space="preserve">t. </w:t>
      </w:r>
      <w:r w:rsidR="00CD2840">
        <w:t xml:space="preserve">Aktualizováno k </w:t>
      </w:r>
      <w:r w:rsidR="005C7EA8">
        <w:t xml:space="preserve">2023-08-03. </w:t>
      </w:r>
      <w:r w:rsidR="0001750B">
        <w:t xml:space="preserve">Dostupné z: </w:t>
      </w:r>
      <w:hyperlink r:id="rId8" w:history="1">
        <w:r w:rsidR="0001750B" w:rsidRPr="00777702">
          <w:rPr>
            <w:rStyle w:val="Hypertextovodkaz"/>
          </w:rPr>
          <w:t>https://www.mvcr.cz/odk2/soubor/mm-28-04e-pravni-vyklad-k-mistnimu-poplatku-za-povoleni-k-vjezdu-s-motorovym-vozidlem-do-vybranych-mist-a-casti-mest-1-1-2024.aspx</w:t>
        </w:r>
      </w:hyperlink>
      <w:r w:rsidR="002D28DE">
        <w:t>)</w:t>
      </w:r>
    </w:p>
    <w:p w14:paraId="0978415B" w14:textId="0384C3A4" w:rsidR="00311AE5" w:rsidRDefault="00340C69" w:rsidP="00BA2404">
      <w:r>
        <w:t xml:space="preserve">Správcem poplatku je podle § 15 </w:t>
      </w:r>
      <w:r w:rsidR="00512B8F">
        <w:t>zákona o místních poplatcích obecní úřad v přenesené působnosti.</w:t>
      </w:r>
      <w:r w:rsidR="009374A2">
        <w:t xml:space="preserve"> </w:t>
      </w:r>
      <w:r w:rsidR="00E03486">
        <w:t>Na</w:t>
      </w:r>
      <w:r w:rsidR="002152A3">
        <w:t> </w:t>
      </w:r>
      <w:r w:rsidR="00E03486">
        <w:t>území hl. m. Prahy byl výkon správy místních poplatků v rozsahu stanoveném obecně závaznými</w:t>
      </w:r>
      <w:r w:rsidR="00C91453">
        <w:t xml:space="preserve"> </w:t>
      </w:r>
      <w:r w:rsidR="00E03486">
        <w:t xml:space="preserve">vyhláškami </w:t>
      </w:r>
      <w:r w:rsidR="009664C7">
        <w:t>svěřen d</w:t>
      </w:r>
      <w:r w:rsidR="009664C7" w:rsidRPr="009664C7">
        <w:t>o přenesené působnosti všech městských částí</w:t>
      </w:r>
      <w:r w:rsidR="00394D15">
        <w:t xml:space="preserve"> </w:t>
      </w:r>
      <w:r w:rsidR="009664C7">
        <w:t xml:space="preserve">podle </w:t>
      </w:r>
      <w:r w:rsidR="005C42D6">
        <w:t xml:space="preserve">§ </w:t>
      </w:r>
      <w:r w:rsidR="00A173DA">
        <w:t>3</w:t>
      </w:r>
      <w:r w:rsidR="005C42D6">
        <w:t xml:space="preserve"> a položk</w:t>
      </w:r>
      <w:r w:rsidR="00A173DA">
        <w:t xml:space="preserve">y </w:t>
      </w:r>
      <w:r w:rsidR="005C42D6">
        <w:t xml:space="preserve">č. 2 přílohy č. 3 </w:t>
      </w:r>
      <w:r w:rsidR="00394D15">
        <w:t>obecně</w:t>
      </w:r>
      <w:r w:rsidR="00121569">
        <w:t xml:space="preserve"> </w:t>
      </w:r>
      <w:r w:rsidR="00BA2404">
        <w:t xml:space="preserve">závazné vyhlášky č. 55/2000 Sb., kterou se vydává Statut hlavního města Prahy, ve znění pozdějších předpisů </w:t>
      </w:r>
      <w:r w:rsidR="00121569">
        <w:t>na základě § 32 odst. 3 zákona č.</w:t>
      </w:r>
      <w:r w:rsidR="00BA2404">
        <w:t> </w:t>
      </w:r>
      <w:r w:rsidR="00121569">
        <w:t xml:space="preserve">131/2000 Sb., o </w:t>
      </w:r>
      <w:r w:rsidR="00394D15">
        <w:t>hlavním městě Praze, ve znění pozdějších předpisů</w:t>
      </w:r>
      <w:r w:rsidR="00427C80">
        <w:t>.</w:t>
      </w:r>
    </w:p>
    <w:p w14:paraId="3E8ABA9E" w14:textId="138D5790" w:rsidR="00330984" w:rsidRDefault="00D36971" w:rsidP="00BA2404">
      <w:r>
        <w:t>Významné dopady má skutečnost, že p</w:t>
      </w:r>
      <w:r w:rsidR="007B0964">
        <w:t>ři správě poplatků se</w:t>
      </w:r>
      <w:r w:rsidR="007076FD">
        <w:t xml:space="preserve"> postupuje podle zákona č. 280/2009 Sb., daňový řád, ve znění pozdějších předpisů</w:t>
      </w:r>
      <w:r>
        <w:t xml:space="preserve"> a správce poplatku tak vystupuje v postavení správce daně, se</w:t>
      </w:r>
      <w:r w:rsidR="002152A3">
        <w:t> </w:t>
      </w:r>
      <w:r>
        <w:t xml:space="preserve">všemi oprávněními a povinnostmi s tím spojenými. Mimo jiné </w:t>
      </w:r>
      <w:r w:rsidR="00EE7D2F">
        <w:t xml:space="preserve">platí, že </w:t>
      </w:r>
      <w:r w:rsidR="008F0661" w:rsidRPr="008F0661">
        <w:t xml:space="preserve">úřední osoby jsou povinny zachovávat </w:t>
      </w:r>
      <w:r w:rsidR="008F0661">
        <w:t xml:space="preserve">striktní </w:t>
      </w:r>
      <w:r w:rsidR="008F0661" w:rsidRPr="008F0661">
        <w:t>mlčenlivost o všem, co se v souvislosti se správou daní dozvěděly</w:t>
      </w:r>
      <w:r w:rsidR="008F0661">
        <w:t>, přičemž výjimky jsou poměrně úzké</w:t>
      </w:r>
      <w:r w:rsidR="00A87DDA">
        <w:t xml:space="preserve"> (§ 52 a násl. daňového řádu)</w:t>
      </w:r>
      <w:r w:rsidR="008F0661">
        <w:t>.</w:t>
      </w:r>
      <w:r w:rsidR="00CA3A9F">
        <w:t xml:space="preserve"> Informace zjištěné při správě daní nelze až na zákonem stanovené výjimky (netýká se to např. anonymizovaných nebo generalizovaných údajů)</w:t>
      </w:r>
      <w:r w:rsidR="00087763">
        <w:t xml:space="preserve"> využít pro jiné než daňové účely</w:t>
      </w:r>
      <w:r w:rsidR="00AE7D87">
        <w:t xml:space="preserve">. Údaje o úhradě poplatku tak např. nelze využít </w:t>
      </w:r>
      <w:r w:rsidR="00087763">
        <w:t>pro kontrol</w:t>
      </w:r>
      <w:r w:rsidR="009A40C7">
        <w:t xml:space="preserve">u povolení k vjezdu. </w:t>
      </w:r>
      <w:r w:rsidR="00AE7D87">
        <w:t xml:space="preserve">Údaje o vydaných povolení je proto nezbytné vést samostatně, </w:t>
      </w:r>
      <w:r w:rsidR="00D801EF">
        <w:t>odděleně od</w:t>
      </w:r>
      <w:r w:rsidR="002152A3">
        <w:t> </w:t>
      </w:r>
      <w:r w:rsidR="00D801EF">
        <w:t>poplatkové evidence</w:t>
      </w:r>
      <w:r w:rsidR="00AF4DAE">
        <w:t xml:space="preserve"> vedené </w:t>
      </w:r>
      <w:r w:rsidR="00635507">
        <w:t xml:space="preserve">výhradně </w:t>
      </w:r>
      <w:r w:rsidR="00AF4DAE">
        <w:t>správcem poplatku.</w:t>
      </w:r>
    </w:p>
    <w:p w14:paraId="3552D588" w14:textId="32D919A3" w:rsidR="00DA132C" w:rsidRDefault="00795BBB" w:rsidP="00BA2404">
      <w:r>
        <w:t xml:space="preserve">Přestože </w:t>
      </w:r>
      <w:r w:rsidR="00282067">
        <w:t xml:space="preserve">vznik přeplatku nebo nedoplatku na poplatku je s ohledem na jeho </w:t>
      </w:r>
      <w:r w:rsidR="00626653">
        <w:t xml:space="preserve">jednorázový </w:t>
      </w:r>
      <w:r w:rsidR="00282067">
        <w:t>charakter spíše výjimečný</w:t>
      </w:r>
      <w:r w:rsidR="003D4CB5">
        <w:t xml:space="preserve">, </w:t>
      </w:r>
      <w:r w:rsidR="00506EF0">
        <w:t>nelze vyloučit</w:t>
      </w:r>
      <w:r>
        <w:t>,</w:t>
      </w:r>
      <w:r w:rsidR="00506EF0">
        <w:t xml:space="preserve"> že</w:t>
      </w:r>
      <w:r>
        <w:t xml:space="preserve"> n</w:t>
      </w:r>
      <w:r w:rsidR="00DA132C">
        <w:t xml:space="preserve">a základě právní úpravy zákona o místních poplatcích </w:t>
      </w:r>
      <w:r>
        <w:t>účinné od 1. ledna 2024</w:t>
      </w:r>
      <w:r w:rsidR="00506EF0">
        <w:t xml:space="preserve"> poplatník požádá </w:t>
      </w:r>
      <w:r w:rsidR="00217034">
        <w:t>o vyměření poplatku rozhodnutím (§ 11a zákona o místních poplatcích)</w:t>
      </w:r>
      <w:r w:rsidR="003D4CB5">
        <w:t xml:space="preserve"> nebo </w:t>
      </w:r>
      <w:r w:rsidR="004235D0">
        <w:t>že</w:t>
      </w:r>
      <w:r w:rsidR="002152A3">
        <w:t> </w:t>
      </w:r>
      <w:r w:rsidR="003D4CB5">
        <w:t>správce poplatku vyměří poplatek rozhodnutím (§ 1</w:t>
      </w:r>
      <w:r w:rsidR="00F26250">
        <w:t>1 odst. 2 zákona o místních poplatcích</w:t>
      </w:r>
      <w:r w:rsidR="003D4CB5">
        <w:t>), vyvstanou-li např. pochybnosti o nároku poplatníka na osvobození od poplatku.</w:t>
      </w:r>
    </w:p>
    <w:p w14:paraId="374B2AC1" w14:textId="46BBBA04" w:rsidR="00BB0C3C" w:rsidRDefault="00BB0C3C" w:rsidP="009043B5">
      <w:pPr>
        <w:pStyle w:val="Nadpis1"/>
      </w:pPr>
      <w:r>
        <w:t>Obecná část</w:t>
      </w:r>
    </w:p>
    <w:p w14:paraId="64A420F8" w14:textId="743476F5" w:rsidR="00BB0C3C" w:rsidRDefault="00BB0C3C" w:rsidP="00360FBC">
      <w:pPr>
        <w:pStyle w:val="Nadpis2"/>
      </w:pPr>
      <w:r>
        <w:t>Obecná východiska návrhu</w:t>
      </w:r>
    </w:p>
    <w:p w14:paraId="5FA8637B" w14:textId="076791FB" w:rsidR="00BB0C3C" w:rsidRDefault="003B4B8E" w:rsidP="001E04F1">
      <w:r>
        <w:t xml:space="preserve">Návrh vychází </w:t>
      </w:r>
      <w:r w:rsidR="00F81462">
        <w:t>z</w:t>
      </w:r>
      <w:r w:rsidR="00816165">
        <w:t xml:space="preserve"> doporučeného </w:t>
      </w:r>
      <w:r w:rsidR="00F81462">
        <w:t>v</w:t>
      </w:r>
      <w:r w:rsidR="00F81462" w:rsidRPr="00F81462">
        <w:t>zor</w:t>
      </w:r>
      <w:r w:rsidR="00F81462">
        <w:t xml:space="preserve">u </w:t>
      </w:r>
      <w:r w:rsidR="00816165">
        <w:t>Ministerstva vnitra</w:t>
      </w:r>
      <w:r w:rsidR="00816165">
        <w:rPr>
          <w:rStyle w:val="Znakapoznpodarou"/>
        </w:rPr>
        <w:footnoteReference w:id="5"/>
      </w:r>
      <w:r w:rsidR="00816165" w:rsidRPr="001E04F1">
        <w:rPr>
          <w:vertAlign w:val="superscript"/>
        </w:rPr>
        <w:t>)</w:t>
      </w:r>
      <w:r w:rsidR="00F51921">
        <w:t xml:space="preserve"> (dále jen „vzor MV“),</w:t>
      </w:r>
      <w:r w:rsidR="001E04F1">
        <w:t xml:space="preserve"> od nějž se odchyluje pouze v nezbytných případech, přičemž se inspiruje zejména </w:t>
      </w:r>
      <w:r w:rsidR="00CB1581">
        <w:t>regulací statutárního města Karlovy Vary.</w:t>
      </w:r>
      <w:r w:rsidR="00CB1581">
        <w:rPr>
          <w:rStyle w:val="Znakapoznpodarou"/>
        </w:rPr>
        <w:footnoteReference w:id="6"/>
      </w:r>
      <w:r w:rsidR="00CB1581" w:rsidRPr="00CB1581">
        <w:rPr>
          <w:vertAlign w:val="superscript"/>
        </w:rPr>
        <w:t>)</w:t>
      </w:r>
    </w:p>
    <w:p w14:paraId="13F8B726" w14:textId="632298FD" w:rsidR="001C10A4" w:rsidRDefault="00B83680" w:rsidP="001E04F1">
      <w:r>
        <w:t xml:space="preserve">Důvodem navrhované cenové regulace vjezdu do příslušných vybraných míst je jejich specifický charakter a dopravní přetíženost, která je toho důsledkem. Obě vybraná místa jsou </w:t>
      </w:r>
      <w:r w:rsidR="00C608D4">
        <w:t>součástí centrální oblasti města, resp. jeho historického jádra</w:t>
      </w:r>
      <w:r w:rsidR="001C10A4">
        <w:t xml:space="preserve">, a tedy součástí oblasti </w:t>
      </w:r>
      <w:r w:rsidR="00C608D4">
        <w:t xml:space="preserve">s vysokým </w:t>
      </w:r>
      <w:r w:rsidR="00C608D4" w:rsidRPr="00C608D4">
        <w:t>kulturní</w:t>
      </w:r>
      <w:r w:rsidR="00C608D4">
        <w:t>m</w:t>
      </w:r>
      <w:r w:rsidR="00C608D4" w:rsidRPr="00C608D4">
        <w:t>, sociální</w:t>
      </w:r>
      <w:r w:rsidR="00C608D4">
        <w:t>m</w:t>
      </w:r>
      <w:r w:rsidR="00C608D4" w:rsidRPr="00C608D4">
        <w:t xml:space="preserve"> a</w:t>
      </w:r>
      <w:r w:rsidR="00C608D4">
        <w:t> </w:t>
      </w:r>
      <w:r w:rsidR="00C608D4" w:rsidRPr="00C608D4">
        <w:t>urbanistický</w:t>
      </w:r>
      <w:r w:rsidR="00C608D4">
        <w:t>m</w:t>
      </w:r>
      <w:r w:rsidR="00C608D4" w:rsidRPr="00C608D4">
        <w:t xml:space="preserve"> význam</w:t>
      </w:r>
      <w:r w:rsidR="00C608D4">
        <w:t xml:space="preserve">em. </w:t>
      </w:r>
      <w:r w:rsidR="001C10A4">
        <w:t xml:space="preserve">V těchto vybraných místech nebo v jejich blízkém okolí, které s nimi </w:t>
      </w:r>
      <w:r w:rsidR="001C10A4">
        <w:lastRenderedPageBreak/>
        <w:t>dopravně souvisí, se nachází</w:t>
      </w:r>
      <w:r w:rsidR="00C608D4">
        <w:t xml:space="preserve"> historické památky a jiné kulturně významné lokality, </w:t>
      </w:r>
      <w:r w:rsidR="001C10A4">
        <w:t>slouží jako místo pro setkávání občanů města i jeho návštěvníků. Představují místa s vysokou koncentrací chodců (zejm.</w:t>
      </w:r>
      <w:r w:rsidR="00AD7CA1">
        <w:t> </w:t>
      </w:r>
      <w:r w:rsidR="001C10A4">
        <w:t>turistů a jiných návštěvníků).</w:t>
      </w:r>
      <w:r w:rsidR="005A2528">
        <w:t xml:space="preserve"> Vysoká dopravní zátěž těchto lokalit brání jejich dalšímu rozvoji</w:t>
      </w:r>
      <w:r w:rsidR="00AD7CA1">
        <w:t xml:space="preserve"> – například vybudování lepší infrastruktury </w:t>
      </w:r>
      <w:r w:rsidR="005A2528">
        <w:t>městské hromadné dopravy</w:t>
      </w:r>
      <w:r w:rsidR="00AD7CA1">
        <w:t xml:space="preserve"> nebo </w:t>
      </w:r>
      <w:r w:rsidR="00D12FDC">
        <w:t>kultivac</w:t>
      </w:r>
      <w:r w:rsidR="00AD7CA1">
        <w:t>i</w:t>
      </w:r>
      <w:r w:rsidR="00D12FDC">
        <w:t xml:space="preserve"> veřejného prostoru a životního prostředí </w:t>
      </w:r>
      <w:r w:rsidR="00AD7CA1">
        <w:t xml:space="preserve">(rozvojem </w:t>
      </w:r>
      <w:r w:rsidR="005A2528">
        <w:t>chodníků, rekreačních oblastí a městské zeleně</w:t>
      </w:r>
      <w:r w:rsidR="00AD7CA1">
        <w:t>)</w:t>
      </w:r>
      <w:r w:rsidR="005A2528">
        <w:t>. Blíže jsou tato vybraná místa popsána ve zvláštní části v sekci k § 3</w:t>
      </w:r>
      <w:r w:rsidR="00AD7CA1">
        <w:t xml:space="preserve"> návrhu vyhlášky</w:t>
      </w:r>
      <w:r w:rsidR="005A2528">
        <w:t>.</w:t>
      </w:r>
    </w:p>
    <w:p w14:paraId="750E9AF2" w14:textId="5F12C3E5" w:rsidR="005A2528" w:rsidRDefault="005A2528" w:rsidP="001E04F1">
      <w:r>
        <w:t>Cíle navrhované regulace jsou následující:</w:t>
      </w:r>
    </w:p>
    <w:p w14:paraId="6F16CED9" w14:textId="1065C469" w:rsidR="005A2528" w:rsidRDefault="005A2528" w:rsidP="005A2528">
      <w:pPr>
        <w:pStyle w:val="Odstavecseseznamem"/>
        <w:numPr>
          <w:ilvl w:val="0"/>
          <w:numId w:val="11"/>
        </w:numPr>
        <w:ind w:left="567" w:hanging="567"/>
      </w:pPr>
      <w:r>
        <w:t>obecně snížení dopravní zátěže v těchto dopravně přetížených lokalitách a jejich přilehlém okolí,</w:t>
      </w:r>
    </w:p>
    <w:p w14:paraId="451CDC23" w14:textId="766EFC0A" w:rsidR="005A2528" w:rsidRDefault="005A2528" w:rsidP="005A2528">
      <w:pPr>
        <w:pStyle w:val="Odstavecseseznamem"/>
        <w:numPr>
          <w:ilvl w:val="0"/>
          <w:numId w:val="11"/>
        </w:numPr>
        <w:ind w:left="567" w:hanging="567"/>
      </w:pPr>
      <w:r>
        <w:t>zlepšení bezpečnosti dopravy, zejm. chodců v lokalit</w:t>
      </w:r>
      <w:r w:rsidR="00AD7CA1">
        <w:t>ách</w:t>
      </w:r>
      <w:r>
        <w:t xml:space="preserve"> s jejich vysokou koncentrací,</w:t>
      </w:r>
    </w:p>
    <w:p w14:paraId="7F360380" w14:textId="4263EDA5" w:rsidR="005A2528" w:rsidRDefault="005A2528" w:rsidP="005A2528">
      <w:pPr>
        <w:pStyle w:val="Odstavecseseznamem"/>
        <w:numPr>
          <w:ilvl w:val="0"/>
          <w:numId w:val="11"/>
        </w:numPr>
        <w:ind w:left="567" w:hanging="567"/>
      </w:pPr>
      <w:r>
        <w:t>umožnění rozvoje městské hromadné dopravy, včetně podpory bezbariérových zastávek v centrální oblasti hlavního města Prahy, a tedy zavádění opatření k podpoře osob s pohybovým omezením,</w:t>
      </w:r>
    </w:p>
    <w:p w14:paraId="6DF1FE48" w14:textId="6E2FF1B3" w:rsidR="005A2528" w:rsidRDefault="005A2528" w:rsidP="005A2528">
      <w:pPr>
        <w:pStyle w:val="Odstavecseseznamem"/>
        <w:numPr>
          <w:ilvl w:val="0"/>
          <w:numId w:val="11"/>
        </w:numPr>
        <w:ind w:left="567" w:hanging="567"/>
      </w:pPr>
      <w:r>
        <w:t>ochrana specifik a funkcí dotčených lokalit z hlediska jejich historického, kulturního a urbanistického významu.</w:t>
      </w:r>
    </w:p>
    <w:p w14:paraId="2D417F22" w14:textId="4930EA6B" w:rsidR="001C10A4" w:rsidRDefault="001C10A4" w:rsidP="001E04F1">
      <w:r>
        <w:t xml:space="preserve">Vybraná místa jsou součástí širších lokalit, které plní funkce popsané </w:t>
      </w:r>
      <w:r w:rsidR="005A2528">
        <w:t>výše</w:t>
      </w:r>
      <w:r>
        <w:t xml:space="preserve">. Avšak s ohledem na zásadu proporcionality byla tato vybraná místa zvolena </w:t>
      </w:r>
      <w:r w:rsidR="005A2528">
        <w:t>dle jejich dopravní funkce</w:t>
      </w:r>
      <w:r>
        <w:t xml:space="preserve"> tak, aby jejich regulací bylo dosaženo zvolených cílů, při zachování minimalizace zpoplatněného území. Ačkoliv nejsou geograficky rozsáhlá, očekává</w:t>
      </w:r>
      <w:r w:rsidR="005A2528">
        <w:t xml:space="preserve"> se, že jejich regulace přinese pozitivní dopady rovněž pro přilehlé lokality.</w:t>
      </w:r>
    </w:p>
    <w:p w14:paraId="7A3D9CFC" w14:textId="5CD3700E" w:rsidR="008D40BA" w:rsidRDefault="00D12FDC" w:rsidP="008D40BA">
      <w:r>
        <w:t xml:space="preserve">Cenovou regulaci skrze místní poplatek lze považovat v tuto chvíli za vhodnější než jiné, přísnější formy regulace, např. obecné omezení vjezdu bez možnosti zakoupení povolení k vjezdu, kdy by povolení k vjezdu bylo vydáváno jen předem definovaným skupinám osob. Cenová regulace motivuje řidiče k tomu, aby preferovali jiné </w:t>
      </w:r>
      <w:r w:rsidR="00AD7CA1">
        <w:t>mody (způsoby)</w:t>
      </w:r>
      <w:r>
        <w:t xml:space="preserve"> dopravy, aniž by jim </w:t>
      </w:r>
      <w:r w:rsidR="00D57F2B">
        <w:t xml:space="preserve">vjezd </w:t>
      </w:r>
      <w:r>
        <w:t>znemožnila. Současně návrh počítá s</w:t>
      </w:r>
      <w:r w:rsidR="00D57F2B">
        <w:t> komplexním systémem osvobození, dle něhož</w:t>
      </w:r>
      <w:r>
        <w:t xml:space="preserve"> osoby, které mají </w:t>
      </w:r>
      <w:r w:rsidR="00D57F2B">
        <w:t>oprávněný</w:t>
      </w:r>
      <w:r>
        <w:t xml:space="preserve"> dopravní zájem v regulované oblasti, poplatkové</w:t>
      </w:r>
      <w:r w:rsidR="00D57F2B">
        <w:t xml:space="preserve"> povinnosti, případně ani ohlašovací</w:t>
      </w:r>
      <w:r>
        <w:t xml:space="preserve"> povinnosti nepodléhají</w:t>
      </w:r>
      <w:r w:rsidR="00D57F2B">
        <w:t xml:space="preserve"> </w:t>
      </w:r>
      <w:r>
        <w:t>(blíže viz</w:t>
      </w:r>
      <w:r w:rsidR="00D57F2B">
        <w:t> </w:t>
      </w:r>
      <w:r>
        <w:t>zvláštní část v sekci k § 7</w:t>
      </w:r>
      <w:r w:rsidR="00AD7CA1">
        <w:t xml:space="preserve"> návrhu vyhlášky</w:t>
      </w:r>
      <w:r>
        <w:t>).</w:t>
      </w:r>
      <w:r w:rsidR="008D40BA" w:rsidRPr="008D40BA">
        <w:t xml:space="preserve"> </w:t>
      </w:r>
      <w:r w:rsidR="008D40BA">
        <w:t>Skrze systém osvobození, v kombinaci s minimalizací zpoplatněného území, je zajištěna proporcionalita navrhované regulace a minimalizace dopadu do práv a oprávněných zájmů dotčených osob.</w:t>
      </w:r>
    </w:p>
    <w:p w14:paraId="4F15B65A" w14:textId="639D2241" w:rsidR="008D40BA" w:rsidRDefault="008D40BA" w:rsidP="001E04F1">
      <w:r>
        <w:t xml:space="preserve">Preference jiných modů dopravy, zejm. městské hromadné dopravy, oproti individuální automobilové dopravě očekávatelně povede ke snížení dopravní zátěže v dotčených oblastech. Z </w:t>
      </w:r>
      <w:r>
        <w:rPr>
          <w:i/>
          <w:iCs/>
        </w:rPr>
        <w:t>Vyhodnocení dopravních omezení na Smetanově nábřeží a Malé Straně v listopadu 2019</w:t>
      </w:r>
      <w:r>
        <w:t xml:space="preserve"> od </w:t>
      </w:r>
      <w:r w:rsidRPr="008D40BA">
        <w:t>Institut</w:t>
      </w:r>
      <w:r>
        <w:t>u</w:t>
      </w:r>
      <w:r w:rsidRPr="008D40BA">
        <w:t xml:space="preserve"> plánování a</w:t>
      </w:r>
      <w:r>
        <w:t> </w:t>
      </w:r>
      <w:r w:rsidRPr="008D40BA">
        <w:t>rozvoje hlavního města Prahy</w:t>
      </w:r>
      <w:r>
        <w:t xml:space="preserve"> (IPR) vyplývá, že přepravní výkon tramvajové dopravy je v dotčených úsecích výrazně vyšší než u individuální automobilové dopravy. Tramvaje tudy převezou denně 84.400 cestujících oproti 39.251 cestujících v osobních automobilech. Na ulici Karmelitská je přepravní výkon tramvají dokonce násobně vyšší. V rámci přepravní dělby práce tu převezou tramvaje denně 50.900 cestujících (64 %) a osobní automobily pouze 15.981 cestujících (20 %). Zbylých 12.569 cestujících (16 %) tvoří chodci a cyklisti. Individuální automobilová doprava s průměrnou obsazeností vozidla 1,3</w:t>
      </w:r>
      <w:r w:rsidR="003F385D">
        <w:t> </w:t>
      </w:r>
      <w:r>
        <w:t>pasažéra má přitom výrazně vyšší prostorové nároky než tramvajová doprava (s průměrnou obsazeností 48 pasažérů na spoj).</w:t>
      </w:r>
    </w:p>
    <w:p w14:paraId="577C166C" w14:textId="2D74606E" w:rsidR="00360FBC" w:rsidRDefault="00360FBC" w:rsidP="00360FBC">
      <w:pPr>
        <w:pStyle w:val="Nadpis2"/>
      </w:pPr>
      <w:r>
        <w:lastRenderedPageBreak/>
        <w:t xml:space="preserve">Souběžná novelizace </w:t>
      </w:r>
      <w:r w:rsidR="00DE67C8">
        <w:t>S</w:t>
      </w:r>
      <w:r>
        <w:t>tatutu</w:t>
      </w:r>
    </w:p>
    <w:p w14:paraId="0F6817B5" w14:textId="1FCD4E45" w:rsidR="00360FBC" w:rsidRDefault="004536C7" w:rsidP="00360FBC">
      <w:r>
        <w:t>V souvislosti s přijetím návrhu je samostatně předkládaná novel</w:t>
      </w:r>
      <w:r w:rsidR="00A84591">
        <w:t>a o</w:t>
      </w:r>
      <w:r w:rsidR="00A84591" w:rsidRPr="00A84591">
        <w:t>becně závazn</w:t>
      </w:r>
      <w:r w:rsidR="00A84591">
        <w:t xml:space="preserve">é </w:t>
      </w:r>
      <w:r w:rsidR="00A84591" w:rsidRPr="00A84591">
        <w:t>vyhlášk</w:t>
      </w:r>
      <w:r w:rsidR="00A84591">
        <w:t xml:space="preserve">y </w:t>
      </w:r>
      <w:r w:rsidR="00A84591" w:rsidRPr="00A84591">
        <w:t>č. 55/2000 Sb. hl. m. Prahy, kterou se vydává Statut hlavního města Prahy, ve znění pozdějších předpisů</w:t>
      </w:r>
      <w:r w:rsidR="00046FC8">
        <w:t xml:space="preserve"> (dále jen „Statut“).</w:t>
      </w:r>
    </w:p>
    <w:p w14:paraId="12C4148F" w14:textId="4B29E197" w:rsidR="00046FC8" w:rsidRDefault="00046FC8" w:rsidP="00360FBC">
      <w:r>
        <w:t xml:space="preserve">V příloze č. 6 Statutu bude stanoveno, že výnos místního poplatku </w:t>
      </w:r>
      <w:r w:rsidRPr="00046FC8">
        <w:t>za povolení k vjezdu s motorovým vozidlem do vybraných míst a částí měst</w:t>
      </w:r>
      <w:r>
        <w:t xml:space="preserve"> v rozsahu 100 % bude </w:t>
      </w:r>
      <w:r w:rsidR="00FF1FBA">
        <w:t xml:space="preserve">tvořit rozpočtové příjmy městských částí dle § </w:t>
      </w:r>
      <w:r w:rsidR="00EA78FD">
        <w:t>9 odst. 1 písm. f) Statutu.</w:t>
      </w:r>
    </w:p>
    <w:p w14:paraId="64F12741" w14:textId="7898394B" w:rsidR="00046FC8" w:rsidRPr="00360FBC" w:rsidRDefault="006D6583" w:rsidP="00360FBC">
      <w:r>
        <w:t xml:space="preserve">Úpravou </w:t>
      </w:r>
      <w:r w:rsidR="00C46E6B">
        <w:t xml:space="preserve">přílohy č. </w:t>
      </w:r>
      <w:r w:rsidR="001802A8">
        <w:t>3</w:t>
      </w:r>
      <w:r w:rsidR="00CA4FE3">
        <w:t xml:space="preserve"> Statutu </w:t>
      </w:r>
      <w:r w:rsidR="009B5754">
        <w:t>bude</w:t>
      </w:r>
      <w:r>
        <w:t xml:space="preserve"> svěřeno všem městským částem projednávání přestupků spáchaných </w:t>
      </w:r>
      <w:r w:rsidR="001E0F0D">
        <w:t xml:space="preserve">porušením dopravní značky zákazu vjezdu </w:t>
      </w:r>
      <w:r w:rsidR="00AC462E">
        <w:t>do vybraných míst.</w:t>
      </w:r>
    </w:p>
    <w:p w14:paraId="4AC134E9" w14:textId="42A2806B" w:rsidR="00933781" w:rsidRDefault="00933781" w:rsidP="00933781">
      <w:pPr>
        <w:pStyle w:val="Nadpis2"/>
      </w:pPr>
      <w:r w:rsidRPr="00933781">
        <w:t xml:space="preserve">Finanční dopad do rozpočtu městských částí a rozpočtu </w:t>
      </w:r>
      <w:r w:rsidR="00821E36">
        <w:t xml:space="preserve">hl. </w:t>
      </w:r>
      <w:r w:rsidRPr="00933781">
        <w:t>m</w:t>
      </w:r>
      <w:r w:rsidR="00821E36">
        <w:t>.</w:t>
      </w:r>
      <w:r w:rsidRPr="00933781">
        <w:t xml:space="preserve"> Prahy</w:t>
      </w:r>
    </w:p>
    <w:p w14:paraId="14754FD7" w14:textId="3D6FDAD7" w:rsidR="005C0ECC" w:rsidRDefault="00C62A63" w:rsidP="00933781">
      <w:r>
        <w:t xml:space="preserve">Návrh předpokládá, že výnos místního poplatku bude příjmem </w:t>
      </w:r>
      <w:r w:rsidR="00B2062E">
        <w:t xml:space="preserve">rozpočtu městské části, která </w:t>
      </w:r>
      <w:r w:rsidR="0035439A">
        <w:t>provádí jeho správ</w:t>
      </w:r>
      <w:r w:rsidR="000A03BA">
        <w:t xml:space="preserve">u, přičemž návrh v tomto směru </w:t>
      </w:r>
      <w:r w:rsidR="00FE65FE">
        <w:t xml:space="preserve">počítá </w:t>
      </w:r>
      <w:r w:rsidR="009B5754">
        <w:t xml:space="preserve">zatím </w:t>
      </w:r>
      <w:r w:rsidR="00FE65FE">
        <w:t xml:space="preserve">jen </w:t>
      </w:r>
      <w:r w:rsidR="00821E36">
        <w:t xml:space="preserve">s úřadem městské části Praha 1. </w:t>
      </w:r>
      <w:r w:rsidR="00D30A8A">
        <w:t xml:space="preserve">S ohledem na absenci </w:t>
      </w:r>
      <w:r w:rsidR="00874AC4">
        <w:t>předcházejících zkušeností</w:t>
      </w:r>
      <w:r w:rsidR="00006211">
        <w:t xml:space="preserve"> a rozsah zákonného</w:t>
      </w:r>
      <w:r w:rsidR="00914928">
        <w:t xml:space="preserve"> </w:t>
      </w:r>
      <w:r w:rsidR="0052018C">
        <w:t>jakož i navrženého osvobození</w:t>
      </w:r>
      <w:r w:rsidR="00914928">
        <w:t>,</w:t>
      </w:r>
      <w:r w:rsidR="0052018C">
        <w:t xml:space="preserve"> </w:t>
      </w:r>
      <w:r w:rsidR="00DD77C7">
        <w:t xml:space="preserve">lze </w:t>
      </w:r>
      <w:r w:rsidR="004D2B4D">
        <w:t>výnos poplatku je</w:t>
      </w:r>
      <w:r w:rsidR="0009042A">
        <w:t>n</w:t>
      </w:r>
      <w:r w:rsidR="004D2B4D">
        <w:t xml:space="preserve"> </w:t>
      </w:r>
      <w:r w:rsidR="005C0ECC">
        <w:t xml:space="preserve">obtížně </w:t>
      </w:r>
      <w:r w:rsidR="004D2B4D">
        <w:t>odhadovat</w:t>
      </w:r>
      <w:r w:rsidR="005C42AE">
        <w:t>.</w:t>
      </w:r>
      <w:r w:rsidR="005C0ECC">
        <w:t xml:space="preserve"> Příjmy </w:t>
      </w:r>
      <w:r w:rsidR="00A72675">
        <w:t xml:space="preserve">necelé stovky </w:t>
      </w:r>
      <w:r w:rsidR="005C0ECC">
        <w:t>obcí v České republice</w:t>
      </w:r>
      <w:r w:rsidR="00A72675">
        <w:t>, které mají zavedený tento poplatek</w:t>
      </w:r>
      <w:r w:rsidR="00202C62">
        <w:t xml:space="preserve">, </w:t>
      </w:r>
      <w:r w:rsidR="0056413C">
        <w:t>dosáhly</w:t>
      </w:r>
      <w:r w:rsidR="00C01825">
        <w:t xml:space="preserve"> </w:t>
      </w:r>
      <w:r w:rsidR="00202C62">
        <w:t xml:space="preserve">za rok 2023 výše </w:t>
      </w:r>
      <w:r w:rsidR="00FF35EC" w:rsidRPr="00FF35EC">
        <w:t>11</w:t>
      </w:r>
      <w:r w:rsidR="008E63E4">
        <w:t>,</w:t>
      </w:r>
      <w:r w:rsidR="00FF35EC" w:rsidRPr="00FF35EC">
        <w:t>62</w:t>
      </w:r>
      <w:r w:rsidR="008E63E4">
        <w:t xml:space="preserve"> mil. Kč</w:t>
      </w:r>
      <w:r w:rsidR="00FF35EC">
        <w:t xml:space="preserve"> k 30.09.2023</w:t>
      </w:r>
      <w:r w:rsidR="00BC19DE">
        <w:t xml:space="preserve"> a </w:t>
      </w:r>
      <w:r w:rsidR="00202C62">
        <w:t xml:space="preserve">za rok </w:t>
      </w:r>
      <w:r w:rsidR="0056413C">
        <w:t>12</w:t>
      </w:r>
      <w:r w:rsidR="00BC19DE">
        <w:t>,</w:t>
      </w:r>
      <w:r w:rsidR="0056413C">
        <w:t xml:space="preserve">65 mil. </w:t>
      </w:r>
      <w:r w:rsidR="00BC19DE">
        <w:t>Kč.</w:t>
      </w:r>
      <w:r w:rsidR="00CE5876">
        <w:t xml:space="preserve"> M</w:t>
      </w:r>
      <w:r w:rsidR="00B30D0A">
        <w:t xml:space="preserve">ěsta a obce s příjmy </w:t>
      </w:r>
      <w:r w:rsidR="003E41CE">
        <w:t xml:space="preserve">z tohoto poplatku </w:t>
      </w:r>
      <w:r w:rsidR="00B30D0A">
        <w:t xml:space="preserve">přesahujícími 100 tis. Kč za rok 2022 lze </w:t>
      </w:r>
      <w:r w:rsidR="008C60B8">
        <w:t xml:space="preserve">rozdělit do </w:t>
      </w:r>
      <w:r w:rsidR="00B30D0A">
        <w:t>několik</w:t>
      </w:r>
      <w:r w:rsidR="008C60B8">
        <w:t xml:space="preserve">a </w:t>
      </w:r>
      <w:r w:rsidR="00B30D0A">
        <w:t>skupi</w:t>
      </w:r>
      <w:r w:rsidR="008E0A0D">
        <w:t>n</w:t>
      </w:r>
      <w:r w:rsidR="00B30D0A">
        <w:t>. Jednak jde o lázeňská města</w:t>
      </w:r>
      <w:r w:rsidR="005F05F3">
        <w:t xml:space="preserve"> </w:t>
      </w:r>
      <w:r w:rsidR="00F532D3">
        <w:t xml:space="preserve">se </w:t>
      </w:r>
      <w:r w:rsidR="00B26053">
        <w:t>zpoplatněným vj</w:t>
      </w:r>
      <w:r w:rsidR="00A07C9A">
        <w:t xml:space="preserve">ezdem do lázeňského území </w:t>
      </w:r>
      <w:r w:rsidR="005F05F3">
        <w:t>(Karlovy Vary, Františkovy Lázně</w:t>
      </w:r>
      <w:r w:rsidR="00F532D3">
        <w:t>, Mariánské Lázně,</w:t>
      </w:r>
      <w:r w:rsidR="00A07C9A">
        <w:t xml:space="preserve"> Janské Lázně</w:t>
      </w:r>
      <w:r w:rsidR="005F05F3">
        <w:t>)</w:t>
      </w:r>
      <w:r w:rsidR="00A07C9A">
        <w:t>, dále jde o</w:t>
      </w:r>
      <w:r w:rsidR="006D2484">
        <w:t xml:space="preserve"> města a obce v sousedství významného rekreačně využívaného chráněného území (</w:t>
      </w:r>
      <w:r w:rsidR="006D2484" w:rsidRPr="006D2484">
        <w:t>Pec pod Sněžkou</w:t>
      </w:r>
      <w:r w:rsidR="006C194D">
        <w:t>, Doksy, Sadská</w:t>
      </w:r>
      <w:r w:rsidR="004E7A6E">
        <w:t>, Malá Úpa</w:t>
      </w:r>
      <w:r w:rsidR="00D4307C">
        <w:t>, Kořenov</w:t>
      </w:r>
      <w:r w:rsidR="006D2484">
        <w:t>)</w:t>
      </w:r>
      <w:r w:rsidR="00455AF1">
        <w:t xml:space="preserve">, města chránící takto své historické centrum </w:t>
      </w:r>
      <w:r w:rsidR="008E5235">
        <w:t xml:space="preserve">a pěší zónu </w:t>
      </w:r>
      <w:r w:rsidR="00455AF1">
        <w:t xml:space="preserve">(Český Krumlov, Kladno) a konečně se </w:t>
      </w:r>
      <w:r w:rsidR="008E5235">
        <w:t xml:space="preserve">mezi tyto zástupce dostala i obec regulující </w:t>
      </w:r>
      <w:r w:rsidR="00AE58DB">
        <w:t xml:space="preserve">výhradně jen </w:t>
      </w:r>
      <w:r w:rsidR="008E5235">
        <w:t xml:space="preserve">vjezd </w:t>
      </w:r>
      <w:r w:rsidR="006751B7">
        <w:t>nákladních automobilů (Citice)</w:t>
      </w:r>
      <w:r w:rsidR="00E441F5">
        <w:t>.</w:t>
      </w:r>
      <w:r w:rsidR="00BF2B4A">
        <w:t xml:space="preserve"> Příjmy kolem </w:t>
      </w:r>
      <w:r w:rsidR="00EF5100">
        <w:t xml:space="preserve">100 tis. Kč ročně má </w:t>
      </w:r>
      <w:r w:rsidR="00034FA2">
        <w:t xml:space="preserve">z poplatku </w:t>
      </w:r>
      <w:r w:rsidR="008A70F0">
        <w:t>i</w:t>
      </w:r>
      <w:r w:rsidR="00034FA2">
        <w:t xml:space="preserve"> </w:t>
      </w:r>
      <w:r w:rsidR="00F023D4">
        <w:t xml:space="preserve">statutární město </w:t>
      </w:r>
      <w:r w:rsidR="00034FA2">
        <w:t>Par</w:t>
      </w:r>
      <w:r w:rsidR="009C2288">
        <w:t xml:space="preserve">dubice, které však poplatkem </w:t>
      </w:r>
      <w:r w:rsidR="00DC17E2">
        <w:t>zatěžuje z pohledu individuální automobilové dopravy spíše méně významná místa.</w:t>
      </w:r>
      <w:r w:rsidR="00F023D4">
        <w:t xml:space="preserve"> </w:t>
      </w:r>
    </w:p>
    <w:p w14:paraId="511B9E2F" w14:textId="6F2B05C8" w:rsidR="00D37C9F" w:rsidRPr="004A0491" w:rsidRDefault="00D37C9F" w:rsidP="004A0491">
      <w:pPr>
        <w:pStyle w:val="Bezmezer"/>
        <w:rPr>
          <w:i/>
          <w:iCs/>
        </w:rPr>
      </w:pPr>
      <w:r w:rsidRPr="004A0491">
        <w:rPr>
          <w:i/>
          <w:iCs/>
        </w:rPr>
        <w:t>Příjmy obcí z</w:t>
      </w:r>
      <w:r w:rsidR="00B56FE4" w:rsidRPr="004A0491">
        <w:rPr>
          <w:i/>
          <w:iCs/>
        </w:rPr>
        <w:t> místního poplatku za povolení k vjezdu s motorovým vozidlem do vybraných míst a částí měs</w:t>
      </w:r>
      <w:r w:rsidR="00926AB6">
        <w:rPr>
          <w:i/>
          <w:iCs/>
        </w:rPr>
        <w:t>t v letech 2018–2023 v</w:t>
      </w:r>
      <w:r w:rsidR="005A7E99">
        <w:rPr>
          <w:i/>
          <w:iCs/>
        </w:rPr>
        <w:t> </w:t>
      </w:r>
      <w:r w:rsidR="00926AB6">
        <w:rPr>
          <w:i/>
          <w:iCs/>
        </w:rPr>
        <w:t>Kč</w:t>
      </w:r>
      <w:r w:rsidR="005A7E99">
        <w:t xml:space="preserve"> </w:t>
      </w:r>
      <w:r w:rsidR="005A7E99" w:rsidRPr="00B90260">
        <w:rPr>
          <w:i/>
          <w:iCs/>
        </w:rPr>
        <w:t xml:space="preserve">(obce s příjmem vyšším </w:t>
      </w:r>
      <w:r w:rsidR="007919BE">
        <w:rPr>
          <w:i/>
          <w:iCs/>
        </w:rPr>
        <w:t xml:space="preserve">než </w:t>
      </w:r>
      <w:r w:rsidR="005A7E99" w:rsidRPr="00B90260">
        <w:rPr>
          <w:i/>
          <w:iCs/>
        </w:rPr>
        <w:t xml:space="preserve">100 tis. Kč </w:t>
      </w:r>
      <w:r w:rsidR="007919BE">
        <w:rPr>
          <w:i/>
          <w:iCs/>
        </w:rPr>
        <w:t xml:space="preserve">za rok </w:t>
      </w:r>
      <w:r w:rsidR="005A7E99" w:rsidRPr="00B90260">
        <w:rPr>
          <w:i/>
          <w:iCs/>
        </w:rPr>
        <w:t>2022)</w:t>
      </w:r>
      <w:r w:rsidR="00081B74" w:rsidRPr="004A0491">
        <w:rPr>
          <w:i/>
          <w:iCs/>
        </w:rPr>
        <w:t>:</w:t>
      </w:r>
      <w:r w:rsidR="003C7969" w:rsidRPr="004A0491">
        <w:rPr>
          <w:rStyle w:val="Znakapoznpodarou"/>
          <w:i/>
          <w:iCs/>
        </w:rPr>
        <w:footnoteReference w:id="7"/>
      </w:r>
      <w:r w:rsidR="003C7969" w:rsidRPr="004A0491">
        <w:rPr>
          <w:i/>
          <w:iCs/>
          <w:vertAlign w:val="superscript"/>
        </w:rPr>
        <w:t>)</w:t>
      </w:r>
    </w:p>
    <w:tbl>
      <w:tblPr>
        <w:tblStyle w:val="Mkatabulky"/>
        <w:tblW w:w="9067" w:type="dxa"/>
        <w:tblLayout w:type="fixed"/>
        <w:tblLook w:val="04A0" w:firstRow="1" w:lastRow="0" w:firstColumn="1" w:lastColumn="0" w:noHBand="0" w:noVBand="1"/>
      </w:tblPr>
      <w:tblGrid>
        <w:gridCol w:w="2349"/>
        <w:gridCol w:w="1119"/>
        <w:gridCol w:w="1120"/>
        <w:gridCol w:w="1120"/>
        <w:gridCol w:w="1119"/>
        <w:gridCol w:w="1120"/>
        <w:gridCol w:w="1120"/>
      </w:tblGrid>
      <w:tr w:rsidR="00253E31" w:rsidRPr="00253E31" w14:paraId="53149A55" w14:textId="77777777" w:rsidTr="00253E31">
        <w:trPr>
          <w:trHeight w:val="300"/>
        </w:trPr>
        <w:tc>
          <w:tcPr>
            <w:tcW w:w="2349" w:type="dxa"/>
            <w:noWrap/>
            <w:hideMark/>
          </w:tcPr>
          <w:p w14:paraId="38B78EB5" w14:textId="01ED0593" w:rsidR="00253E31" w:rsidRPr="00253E31" w:rsidRDefault="00253E31" w:rsidP="00253E31">
            <w:pPr>
              <w:pStyle w:val="Bezmezer"/>
            </w:pPr>
            <w:r w:rsidRPr="00253E31">
              <w:t xml:space="preserve">Obec </w:t>
            </w:r>
            <w:r w:rsidR="00BD256F">
              <w:t>/ příjem za období</w:t>
            </w:r>
            <w:r w:rsidR="001C0589">
              <w:t xml:space="preserve"> (v Kč)</w:t>
            </w:r>
          </w:p>
        </w:tc>
        <w:tc>
          <w:tcPr>
            <w:tcW w:w="1119" w:type="dxa"/>
            <w:noWrap/>
            <w:hideMark/>
          </w:tcPr>
          <w:p w14:paraId="74EA8A1F" w14:textId="77777777" w:rsidR="00253E31" w:rsidRPr="00253E31" w:rsidRDefault="00253E31" w:rsidP="00253E31">
            <w:pPr>
              <w:pStyle w:val="Bezmezer"/>
              <w:rPr>
                <w:b/>
                <w:bCs/>
              </w:rPr>
            </w:pPr>
            <w:r w:rsidRPr="00253E31">
              <w:rPr>
                <w:b/>
                <w:bCs/>
              </w:rPr>
              <w:t>2018</w:t>
            </w:r>
          </w:p>
        </w:tc>
        <w:tc>
          <w:tcPr>
            <w:tcW w:w="1120" w:type="dxa"/>
            <w:noWrap/>
            <w:hideMark/>
          </w:tcPr>
          <w:p w14:paraId="64C1B554" w14:textId="77777777" w:rsidR="00253E31" w:rsidRPr="00253E31" w:rsidRDefault="00253E31" w:rsidP="00253E31">
            <w:pPr>
              <w:pStyle w:val="Bezmezer"/>
              <w:rPr>
                <w:b/>
                <w:bCs/>
              </w:rPr>
            </w:pPr>
            <w:r w:rsidRPr="00253E31">
              <w:rPr>
                <w:b/>
                <w:bCs/>
              </w:rPr>
              <w:t>2019</w:t>
            </w:r>
          </w:p>
        </w:tc>
        <w:tc>
          <w:tcPr>
            <w:tcW w:w="1120" w:type="dxa"/>
            <w:noWrap/>
            <w:hideMark/>
          </w:tcPr>
          <w:p w14:paraId="76565145" w14:textId="77777777" w:rsidR="00253E31" w:rsidRPr="00253E31" w:rsidRDefault="00253E31" w:rsidP="00253E31">
            <w:pPr>
              <w:pStyle w:val="Bezmezer"/>
              <w:rPr>
                <w:b/>
                <w:bCs/>
              </w:rPr>
            </w:pPr>
            <w:r w:rsidRPr="00253E31">
              <w:rPr>
                <w:b/>
                <w:bCs/>
              </w:rPr>
              <w:t>2020</w:t>
            </w:r>
          </w:p>
        </w:tc>
        <w:tc>
          <w:tcPr>
            <w:tcW w:w="1119" w:type="dxa"/>
            <w:noWrap/>
            <w:hideMark/>
          </w:tcPr>
          <w:p w14:paraId="6878CAA3" w14:textId="77777777" w:rsidR="00253E31" w:rsidRPr="00253E31" w:rsidRDefault="00253E31" w:rsidP="00253E31">
            <w:pPr>
              <w:pStyle w:val="Bezmezer"/>
              <w:rPr>
                <w:b/>
                <w:bCs/>
              </w:rPr>
            </w:pPr>
            <w:r w:rsidRPr="00253E31">
              <w:rPr>
                <w:b/>
                <w:bCs/>
              </w:rPr>
              <w:t>2021</w:t>
            </w:r>
          </w:p>
        </w:tc>
        <w:tc>
          <w:tcPr>
            <w:tcW w:w="1120" w:type="dxa"/>
            <w:noWrap/>
            <w:hideMark/>
          </w:tcPr>
          <w:p w14:paraId="7D02B1BE" w14:textId="77777777" w:rsidR="00253E31" w:rsidRPr="00253E31" w:rsidRDefault="00253E31" w:rsidP="00253E31">
            <w:pPr>
              <w:pStyle w:val="Bezmezer"/>
              <w:rPr>
                <w:b/>
                <w:bCs/>
              </w:rPr>
            </w:pPr>
            <w:r w:rsidRPr="00253E31">
              <w:rPr>
                <w:b/>
                <w:bCs/>
              </w:rPr>
              <w:t>2022</w:t>
            </w:r>
          </w:p>
        </w:tc>
        <w:tc>
          <w:tcPr>
            <w:tcW w:w="1120" w:type="dxa"/>
            <w:noWrap/>
            <w:hideMark/>
          </w:tcPr>
          <w:p w14:paraId="6B69C0C1" w14:textId="059D9D91" w:rsidR="00253E31" w:rsidRPr="00253E31" w:rsidRDefault="00253E31" w:rsidP="00253E31">
            <w:pPr>
              <w:pStyle w:val="Bezmezer"/>
              <w:rPr>
                <w:b/>
                <w:bCs/>
              </w:rPr>
            </w:pPr>
            <w:r w:rsidRPr="00253E31">
              <w:rPr>
                <w:b/>
                <w:bCs/>
              </w:rPr>
              <w:t>2023</w:t>
            </w:r>
            <w:r>
              <w:rPr>
                <w:b/>
                <w:bCs/>
              </w:rPr>
              <w:br/>
            </w:r>
            <w:r w:rsidRPr="00253E31">
              <w:rPr>
                <w:b/>
                <w:bCs/>
              </w:rPr>
              <w:t>(k 30.09.)</w:t>
            </w:r>
          </w:p>
        </w:tc>
      </w:tr>
      <w:tr w:rsidR="00253E31" w:rsidRPr="00253E31" w14:paraId="4A90B8CF" w14:textId="77777777" w:rsidTr="00253E31">
        <w:trPr>
          <w:trHeight w:val="300"/>
        </w:trPr>
        <w:tc>
          <w:tcPr>
            <w:tcW w:w="2349" w:type="dxa"/>
            <w:noWrap/>
            <w:hideMark/>
          </w:tcPr>
          <w:p w14:paraId="58719036" w14:textId="56226BAD" w:rsidR="00253E31" w:rsidRPr="00253E31" w:rsidRDefault="00253E31" w:rsidP="00253E31">
            <w:pPr>
              <w:pStyle w:val="Bezmezer"/>
              <w:rPr>
                <w:b/>
                <w:bCs/>
              </w:rPr>
            </w:pPr>
            <w:r w:rsidRPr="00253E31">
              <w:rPr>
                <w:b/>
                <w:bCs/>
              </w:rPr>
              <w:t xml:space="preserve">Karlovy Vary </w:t>
            </w:r>
          </w:p>
        </w:tc>
        <w:tc>
          <w:tcPr>
            <w:tcW w:w="1119" w:type="dxa"/>
            <w:noWrap/>
            <w:hideMark/>
          </w:tcPr>
          <w:p w14:paraId="17B63F96" w14:textId="77777777" w:rsidR="00253E31" w:rsidRPr="00253E31" w:rsidRDefault="00253E31" w:rsidP="00253E31">
            <w:pPr>
              <w:pStyle w:val="Bezmezer"/>
              <w:jc w:val="right"/>
            </w:pPr>
            <w:r w:rsidRPr="00253E31">
              <w:t>8 060 741</w:t>
            </w:r>
          </w:p>
        </w:tc>
        <w:tc>
          <w:tcPr>
            <w:tcW w:w="1120" w:type="dxa"/>
            <w:noWrap/>
            <w:hideMark/>
          </w:tcPr>
          <w:p w14:paraId="45B21A69" w14:textId="77777777" w:rsidR="00253E31" w:rsidRPr="00253E31" w:rsidRDefault="00253E31" w:rsidP="00253E31">
            <w:pPr>
              <w:pStyle w:val="Bezmezer"/>
              <w:jc w:val="right"/>
            </w:pPr>
            <w:r w:rsidRPr="00253E31">
              <w:t>7 987 956</w:t>
            </w:r>
          </w:p>
        </w:tc>
        <w:tc>
          <w:tcPr>
            <w:tcW w:w="1120" w:type="dxa"/>
            <w:noWrap/>
            <w:hideMark/>
          </w:tcPr>
          <w:p w14:paraId="5CABFB78" w14:textId="77777777" w:rsidR="00253E31" w:rsidRPr="00253E31" w:rsidRDefault="00253E31" w:rsidP="00253E31">
            <w:pPr>
              <w:pStyle w:val="Bezmezer"/>
              <w:jc w:val="right"/>
            </w:pPr>
            <w:r w:rsidRPr="00253E31">
              <w:t>5 304 595</w:t>
            </w:r>
          </w:p>
        </w:tc>
        <w:tc>
          <w:tcPr>
            <w:tcW w:w="1119" w:type="dxa"/>
            <w:noWrap/>
            <w:hideMark/>
          </w:tcPr>
          <w:p w14:paraId="4CDB15D1" w14:textId="77777777" w:rsidR="00253E31" w:rsidRPr="00253E31" w:rsidRDefault="00253E31" w:rsidP="00253E31">
            <w:pPr>
              <w:pStyle w:val="Bezmezer"/>
              <w:jc w:val="right"/>
            </w:pPr>
            <w:r w:rsidRPr="00253E31">
              <w:t>4 811 940</w:t>
            </w:r>
          </w:p>
        </w:tc>
        <w:tc>
          <w:tcPr>
            <w:tcW w:w="1120" w:type="dxa"/>
            <w:noWrap/>
            <w:hideMark/>
          </w:tcPr>
          <w:p w14:paraId="0BE0C9FF" w14:textId="77777777" w:rsidR="00253E31" w:rsidRPr="00253E31" w:rsidRDefault="00253E31" w:rsidP="00253E31">
            <w:pPr>
              <w:pStyle w:val="Bezmezer"/>
              <w:jc w:val="right"/>
            </w:pPr>
            <w:r w:rsidRPr="00253E31">
              <w:t>5 525 713</w:t>
            </w:r>
          </w:p>
        </w:tc>
        <w:tc>
          <w:tcPr>
            <w:tcW w:w="1120" w:type="dxa"/>
            <w:noWrap/>
            <w:hideMark/>
          </w:tcPr>
          <w:p w14:paraId="49B1F1A9" w14:textId="77777777" w:rsidR="00253E31" w:rsidRPr="00253E31" w:rsidRDefault="00253E31" w:rsidP="00253E31">
            <w:pPr>
              <w:pStyle w:val="Bezmezer"/>
              <w:jc w:val="right"/>
            </w:pPr>
            <w:r w:rsidRPr="00253E31">
              <w:t>4 645 618</w:t>
            </w:r>
          </w:p>
        </w:tc>
      </w:tr>
      <w:tr w:rsidR="00253E31" w:rsidRPr="00253E31" w14:paraId="24297614" w14:textId="77777777" w:rsidTr="00253E31">
        <w:trPr>
          <w:trHeight w:val="300"/>
        </w:trPr>
        <w:tc>
          <w:tcPr>
            <w:tcW w:w="2349" w:type="dxa"/>
            <w:noWrap/>
            <w:hideMark/>
          </w:tcPr>
          <w:p w14:paraId="2D0EC3ED" w14:textId="0189BB7F" w:rsidR="00253E31" w:rsidRPr="00253E31" w:rsidRDefault="00253E31" w:rsidP="00253E31">
            <w:pPr>
              <w:pStyle w:val="Bezmezer"/>
              <w:rPr>
                <w:b/>
                <w:bCs/>
              </w:rPr>
            </w:pPr>
            <w:r w:rsidRPr="00253E31">
              <w:rPr>
                <w:b/>
                <w:bCs/>
              </w:rPr>
              <w:t xml:space="preserve">Pec pod Sněžkou </w:t>
            </w:r>
          </w:p>
        </w:tc>
        <w:tc>
          <w:tcPr>
            <w:tcW w:w="1119" w:type="dxa"/>
            <w:noWrap/>
            <w:hideMark/>
          </w:tcPr>
          <w:p w14:paraId="2A7F3610" w14:textId="77777777" w:rsidR="00253E31" w:rsidRPr="00253E31" w:rsidRDefault="00253E31" w:rsidP="00253E31">
            <w:pPr>
              <w:pStyle w:val="Bezmezer"/>
              <w:jc w:val="right"/>
            </w:pPr>
            <w:r w:rsidRPr="00253E31">
              <w:t>739 770</w:t>
            </w:r>
          </w:p>
        </w:tc>
        <w:tc>
          <w:tcPr>
            <w:tcW w:w="1120" w:type="dxa"/>
            <w:noWrap/>
            <w:hideMark/>
          </w:tcPr>
          <w:p w14:paraId="6D49CAEB" w14:textId="77777777" w:rsidR="00253E31" w:rsidRPr="00253E31" w:rsidRDefault="00253E31" w:rsidP="00253E31">
            <w:pPr>
              <w:pStyle w:val="Bezmezer"/>
              <w:jc w:val="right"/>
            </w:pPr>
            <w:r w:rsidRPr="00253E31">
              <w:t>1 371 652</w:t>
            </w:r>
          </w:p>
        </w:tc>
        <w:tc>
          <w:tcPr>
            <w:tcW w:w="1120" w:type="dxa"/>
            <w:noWrap/>
            <w:hideMark/>
          </w:tcPr>
          <w:p w14:paraId="42FA81AC" w14:textId="77777777" w:rsidR="00253E31" w:rsidRPr="00253E31" w:rsidRDefault="00253E31" w:rsidP="00253E31">
            <w:pPr>
              <w:pStyle w:val="Bezmezer"/>
              <w:jc w:val="right"/>
            </w:pPr>
            <w:r w:rsidRPr="00253E31">
              <w:t>1 369 429</w:t>
            </w:r>
          </w:p>
        </w:tc>
        <w:tc>
          <w:tcPr>
            <w:tcW w:w="1119" w:type="dxa"/>
            <w:noWrap/>
            <w:hideMark/>
          </w:tcPr>
          <w:p w14:paraId="1F4D7755" w14:textId="77777777" w:rsidR="00253E31" w:rsidRPr="00253E31" w:rsidRDefault="00253E31" w:rsidP="00253E31">
            <w:pPr>
              <w:pStyle w:val="Bezmezer"/>
              <w:jc w:val="right"/>
            </w:pPr>
            <w:r w:rsidRPr="00253E31">
              <w:t>1 471 119</w:t>
            </w:r>
          </w:p>
        </w:tc>
        <w:tc>
          <w:tcPr>
            <w:tcW w:w="1120" w:type="dxa"/>
            <w:noWrap/>
            <w:hideMark/>
          </w:tcPr>
          <w:p w14:paraId="79E7B52B" w14:textId="77777777" w:rsidR="00253E31" w:rsidRPr="00253E31" w:rsidRDefault="00253E31" w:rsidP="00253E31">
            <w:pPr>
              <w:pStyle w:val="Bezmezer"/>
              <w:jc w:val="right"/>
            </w:pPr>
            <w:r w:rsidRPr="00253E31">
              <w:t>1 422 302</w:t>
            </w:r>
          </w:p>
        </w:tc>
        <w:tc>
          <w:tcPr>
            <w:tcW w:w="1120" w:type="dxa"/>
            <w:noWrap/>
            <w:hideMark/>
          </w:tcPr>
          <w:p w14:paraId="491E22CA" w14:textId="77777777" w:rsidR="00253E31" w:rsidRPr="00253E31" w:rsidRDefault="00253E31" w:rsidP="00253E31">
            <w:pPr>
              <w:pStyle w:val="Bezmezer"/>
              <w:jc w:val="right"/>
            </w:pPr>
            <w:r w:rsidRPr="00253E31">
              <w:t>1 423 374</w:t>
            </w:r>
          </w:p>
        </w:tc>
      </w:tr>
      <w:tr w:rsidR="00253E31" w:rsidRPr="00253E31" w14:paraId="3A47B5F7" w14:textId="77777777" w:rsidTr="00253E31">
        <w:trPr>
          <w:trHeight w:val="300"/>
        </w:trPr>
        <w:tc>
          <w:tcPr>
            <w:tcW w:w="2349" w:type="dxa"/>
            <w:noWrap/>
            <w:hideMark/>
          </w:tcPr>
          <w:p w14:paraId="65A396CF" w14:textId="1BEA9CFA" w:rsidR="00253E31" w:rsidRPr="00253E31" w:rsidRDefault="00253E31" w:rsidP="00253E31">
            <w:pPr>
              <w:pStyle w:val="Bezmezer"/>
              <w:rPr>
                <w:b/>
                <w:bCs/>
              </w:rPr>
            </w:pPr>
            <w:r w:rsidRPr="00253E31">
              <w:rPr>
                <w:b/>
                <w:bCs/>
              </w:rPr>
              <w:t xml:space="preserve">Český Krumlov </w:t>
            </w:r>
          </w:p>
        </w:tc>
        <w:tc>
          <w:tcPr>
            <w:tcW w:w="1119" w:type="dxa"/>
            <w:noWrap/>
            <w:hideMark/>
          </w:tcPr>
          <w:p w14:paraId="4FDD7038" w14:textId="77777777" w:rsidR="00253E31" w:rsidRPr="00253E31" w:rsidRDefault="00253E31" w:rsidP="00253E31">
            <w:pPr>
              <w:pStyle w:val="Bezmezer"/>
              <w:jc w:val="right"/>
            </w:pPr>
            <w:r w:rsidRPr="00253E31">
              <w:t>2 073 300</w:t>
            </w:r>
          </w:p>
        </w:tc>
        <w:tc>
          <w:tcPr>
            <w:tcW w:w="1120" w:type="dxa"/>
            <w:noWrap/>
            <w:hideMark/>
          </w:tcPr>
          <w:p w14:paraId="7D26F932" w14:textId="77777777" w:rsidR="00253E31" w:rsidRPr="00253E31" w:rsidRDefault="00253E31" w:rsidP="00253E31">
            <w:pPr>
              <w:pStyle w:val="Bezmezer"/>
              <w:jc w:val="right"/>
            </w:pPr>
            <w:r w:rsidRPr="00253E31">
              <w:t>2 254 700</w:t>
            </w:r>
          </w:p>
        </w:tc>
        <w:tc>
          <w:tcPr>
            <w:tcW w:w="1120" w:type="dxa"/>
            <w:noWrap/>
            <w:hideMark/>
          </w:tcPr>
          <w:p w14:paraId="5B32DFBC" w14:textId="77777777" w:rsidR="00253E31" w:rsidRPr="00253E31" w:rsidRDefault="00253E31" w:rsidP="00253E31">
            <w:pPr>
              <w:pStyle w:val="Bezmezer"/>
              <w:jc w:val="right"/>
            </w:pPr>
            <w:r w:rsidRPr="00253E31">
              <w:t>1 072 200</w:t>
            </w:r>
          </w:p>
        </w:tc>
        <w:tc>
          <w:tcPr>
            <w:tcW w:w="1119" w:type="dxa"/>
            <w:noWrap/>
            <w:hideMark/>
          </w:tcPr>
          <w:p w14:paraId="49BE10C7" w14:textId="77777777" w:rsidR="00253E31" w:rsidRPr="00253E31" w:rsidRDefault="00253E31" w:rsidP="00253E31">
            <w:pPr>
              <w:pStyle w:val="Bezmezer"/>
              <w:jc w:val="right"/>
            </w:pPr>
            <w:r w:rsidRPr="00253E31">
              <w:t>792 500</w:t>
            </w:r>
          </w:p>
        </w:tc>
        <w:tc>
          <w:tcPr>
            <w:tcW w:w="1120" w:type="dxa"/>
            <w:noWrap/>
            <w:hideMark/>
          </w:tcPr>
          <w:p w14:paraId="1B968833" w14:textId="77777777" w:rsidR="00253E31" w:rsidRPr="00253E31" w:rsidRDefault="00253E31" w:rsidP="00253E31">
            <w:pPr>
              <w:pStyle w:val="Bezmezer"/>
              <w:jc w:val="right"/>
            </w:pPr>
            <w:r w:rsidRPr="00253E31">
              <w:t>1 003 700</w:t>
            </w:r>
          </w:p>
        </w:tc>
        <w:tc>
          <w:tcPr>
            <w:tcW w:w="1120" w:type="dxa"/>
            <w:noWrap/>
            <w:hideMark/>
          </w:tcPr>
          <w:p w14:paraId="78F3C133" w14:textId="77777777" w:rsidR="00253E31" w:rsidRPr="00253E31" w:rsidRDefault="00253E31" w:rsidP="00253E31">
            <w:pPr>
              <w:pStyle w:val="Bezmezer"/>
              <w:jc w:val="right"/>
            </w:pPr>
            <w:r w:rsidRPr="00253E31">
              <w:t>895 100</w:t>
            </w:r>
          </w:p>
        </w:tc>
      </w:tr>
      <w:tr w:rsidR="00253E31" w:rsidRPr="00253E31" w14:paraId="55975481" w14:textId="77777777" w:rsidTr="00253E31">
        <w:trPr>
          <w:trHeight w:val="300"/>
        </w:trPr>
        <w:tc>
          <w:tcPr>
            <w:tcW w:w="2349" w:type="dxa"/>
            <w:noWrap/>
            <w:hideMark/>
          </w:tcPr>
          <w:p w14:paraId="6C1CA90F" w14:textId="1294F240" w:rsidR="00253E31" w:rsidRPr="00253E31" w:rsidRDefault="00253E31" w:rsidP="00253E31">
            <w:pPr>
              <w:pStyle w:val="Bezmezer"/>
              <w:rPr>
                <w:b/>
                <w:bCs/>
              </w:rPr>
            </w:pPr>
            <w:r w:rsidRPr="00253E31">
              <w:rPr>
                <w:b/>
                <w:bCs/>
              </w:rPr>
              <w:t xml:space="preserve">Doksy </w:t>
            </w:r>
          </w:p>
        </w:tc>
        <w:tc>
          <w:tcPr>
            <w:tcW w:w="1119" w:type="dxa"/>
            <w:noWrap/>
            <w:hideMark/>
          </w:tcPr>
          <w:p w14:paraId="228E869B" w14:textId="77777777" w:rsidR="00253E31" w:rsidRPr="00253E31" w:rsidRDefault="00253E31" w:rsidP="00253E31">
            <w:pPr>
              <w:pStyle w:val="Bezmezer"/>
              <w:jc w:val="right"/>
            </w:pPr>
            <w:r w:rsidRPr="00253E31">
              <w:t>1 255 660</w:t>
            </w:r>
          </w:p>
        </w:tc>
        <w:tc>
          <w:tcPr>
            <w:tcW w:w="1120" w:type="dxa"/>
            <w:noWrap/>
            <w:hideMark/>
          </w:tcPr>
          <w:p w14:paraId="50CEC059" w14:textId="77777777" w:rsidR="00253E31" w:rsidRPr="00253E31" w:rsidRDefault="00253E31" w:rsidP="00253E31">
            <w:pPr>
              <w:pStyle w:val="Bezmezer"/>
              <w:jc w:val="right"/>
            </w:pPr>
            <w:r w:rsidRPr="00253E31">
              <w:t>1 250 050</w:t>
            </w:r>
          </w:p>
        </w:tc>
        <w:tc>
          <w:tcPr>
            <w:tcW w:w="1120" w:type="dxa"/>
            <w:noWrap/>
            <w:hideMark/>
          </w:tcPr>
          <w:p w14:paraId="26B60095" w14:textId="77777777" w:rsidR="00253E31" w:rsidRPr="00253E31" w:rsidRDefault="00253E31" w:rsidP="00253E31">
            <w:pPr>
              <w:pStyle w:val="Bezmezer"/>
              <w:jc w:val="right"/>
            </w:pPr>
            <w:r w:rsidRPr="00253E31">
              <w:t>1 109 300</w:t>
            </w:r>
          </w:p>
        </w:tc>
        <w:tc>
          <w:tcPr>
            <w:tcW w:w="1119" w:type="dxa"/>
            <w:noWrap/>
            <w:hideMark/>
          </w:tcPr>
          <w:p w14:paraId="2F411D56" w14:textId="77777777" w:rsidR="00253E31" w:rsidRPr="00253E31" w:rsidRDefault="00253E31" w:rsidP="00253E31">
            <w:pPr>
              <w:pStyle w:val="Bezmezer"/>
              <w:jc w:val="right"/>
            </w:pPr>
            <w:r w:rsidRPr="00253E31">
              <w:t>1 014 800</w:t>
            </w:r>
          </w:p>
        </w:tc>
        <w:tc>
          <w:tcPr>
            <w:tcW w:w="1120" w:type="dxa"/>
            <w:noWrap/>
            <w:hideMark/>
          </w:tcPr>
          <w:p w14:paraId="700F3179" w14:textId="77777777" w:rsidR="00253E31" w:rsidRPr="00253E31" w:rsidRDefault="00253E31" w:rsidP="00253E31">
            <w:pPr>
              <w:pStyle w:val="Bezmezer"/>
              <w:jc w:val="right"/>
            </w:pPr>
            <w:r w:rsidRPr="00253E31">
              <w:t>821 374</w:t>
            </w:r>
          </w:p>
        </w:tc>
        <w:tc>
          <w:tcPr>
            <w:tcW w:w="1120" w:type="dxa"/>
            <w:noWrap/>
            <w:hideMark/>
          </w:tcPr>
          <w:p w14:paraId="11E9E8DE" w14:textId="77777777" w:rsidR="00253E31" w:rsidRPr="00253E31" w:rsidRDefault="00253E31" w:rsidP="00253E31">
            <w:pPr>
              <w:pStyle w:val="Bezmezer"/>
              <w:jc w:val="right"/>
            </w:pPr>
            <w:r w:rsidRPr="00253E31">
              <w:t>311 527</w:t>
            </w:r>
          </w:p>
        </w:tc>
      </w:tr>
      <w:tr w:rsidR="00253E31" w:rsidRPr="00253E31" w14:paraId="4AA61558" w14:textId="77777777" w:rsidTr="00253E31">
        <w:trPr>
          <w:trHeight w:val="300"/>
        </w:trPr>
        <w:tc>
          <w:tcPr>
            <w:tcW w:w="2349" w:type="dxa"/>
            <w:noWrap/>
            <w:hideMark/>
          </w:tcPr>
          <w:p w14:paraId="2991BA1F" w14:textId="5BEC6FE9" w:rsidR="00253E31" w:rsidRPr="00253E31" w:rsidRDefault="00253E31" w:rsidP="00253E31">
            <w:pPr>
              <w:pStyle w:val="Bezmezer"/>
              <w:rPr>
                <w:b/>
                <w:bCs/>
              </w:rPr>
            </w:pPr>
            <w:r w:rsidRPr="00253E31">
              <w:rPr>
                <w:b/>
                <w:bCs/>
              </w:rPr>
              <w:t>Františkovy Lázně</w:t>
            </w:r>
          </w:p>
        </w:tc>
        <w:tc>
          <w:tcPr>
            <w:tcW w:w="1119" w:type="dxa"/>
            <w:noWrap/>
            <w:hideMark/>
          </w:tcPr>
          <w:p w14:paraId="569E0842" w14:textId="77777777" w:rsidR="00253E31" w:rsidRPr="00253E31" w:rsidRDefault="00253E31" w:rsidP="00253E31">
            <w:pPr>
              <w:pStyle w:val="Bezmezer"/>
              <w:jc w:val="right"/>
            </w:pPr>
            <w:r w:rsidRPr="00253E31">
              <w:t>944 503</w:t>
            </w:r>
          </w:p>
        </w:tc>
        <w:tc>
          <w:tcPr>
            <w:tcW w:w="1120" w:type="dxa"/>
            <w:noWrap/>
            <w:hideMark/>
          </w:tcPr>
          <w:p w14:paraId="07AFB362" w14:textId="77777777" w:rsidR="00253E31" w:rsidRPr="00253E31" w:rsidRDefault="00253E31" w:rsidP="00253E31">
            <w:pPr>
              <w:pStyle w:val="Bezmezer"/>
              <w:jc w:val="right"/>
            </w:pPr>
            <w:r w:rsidRPr="00253E31">
              <w:t>700 739</w:t>
            </w:r>
          </w:p>
        </w:tc>
        <w:tc>
          <w:tcPr>
            <w:tcW w:w="1120" w:type="dxa"/>
            <w:noWrap/>
            <w:hideMark/>
          </w:tcPr>
          <w:p w14:paraId="7A815D30" w14:textId="77777777" w:rsidR="00253E31" w:rsidRPr="00253E31" w:rsidRDefault="00253E31" w:rsidP="00253E31">
            <w:pPr>
              <w:pStyle w:val="Bezmezer"/>
              <w:jc w:val="right"/>
            </w:pPr>
            <w:r w:rsidRPr="00253E31">
              <w:t>414 384</w:t>
            </w:r>
          </w:p>
        </w:tc>
        <w:tc>
          <w:tcPr>
            <w:tcW w:w="1119" w:type="dxa"/>
            <w:noWrap/>
            <w:hideMark/>
          </w:tcPr>
          <w:p w14:paraId="4FE0E92E" w14:textId="77777777" w:rsidR="00253E31" w:rsidRPr="00253E31" w:rsidRDefault="00253E31" w:rsidP="00253E31">
            <w:pPr>
              <w:pStyle w:val="Bezmezer"/>
              <w:jc w:val="right"/>
            </w:pPr>
            <w:r w:rsidRPr="00253E31">
              <w:t>377 429</w:t>
            </w:r>
          </w:p>
        </w:tc>
        <w:tc>
          <w:tcPr>
            <w:tcW w:w="1120" w:type="dxa"/>
            <w:noWrap/>
            <w:hideMark/>
          </w:tcPr>
          <w:p w14:paraId="025E7589" w14:textId="77777777" w:rsidR="00253E31" w:rsidRPr="00253E31" w:rsidRDefault="00253E31" w:rsidP="00253E31">
            <w:pPr>
              <w:pStyle w:val="Bezmezer"/>
              <w:jc w:val="right"/>
            </w:pPr>
            <w:r w:rsidRPr="00253E31">
              <w:t>471 562</w:t>
            </w:r>
          </w:p>
        </w:tc>
        <w:tc>
          <w:tcPr>
            <w:tcW w:w="1120" w:type="dxa"/>
            <w:noWrap/>
            <w:hideMark/>
          </w:tcPr>
          <w:p w14:paraId="7CCFCADA" w14:textId="77777777" w:rsidR="00253E31" w:rsidRPr="00253E31" w:rsidRDefault="00253E31" w:rsidP="00253E31">
            <w:pPr>
              <w:pStyle w:val="Bezmezer"/>
              <w:jc w:val="right"/>
            </w:pPr>
            <w:r w:rsidRPr="00253E31">
              <w:t>264 356</w:t>
            </w:r>
          </w:p>
        </w:tc>
      </w:tr>
      <w:tr w:rsidR="00253E31" w:rsidRPr="00253E31" w14:paraId="1880C78A" w14:textId="77777777" w:rsidTr="00253E31">
        <w:trPr>
          <w:trHeight w:val="300"/>
        </w:trPr>
        <w:tc>
          <w:tcPr>
            <w:tcW w:w="2349" w:type="dxa"/>
            <w:noWrap/>
            <w:hideMark/>
          </w:tcPr>
          <w:p w14:paraId="608D9D05" w14:textId="188E24F9" w:rsidR="00253E31" w:rsidRPr="00253E31" w:rsidRDefault="00253E31" w:rsidP="00253E31">
            <w:pPr>
              <w:pStyle w:val="Bezmezer"/>
              <w:rPr>
                <w:b/>
                <w:bCs/>
              </w:rPr>
            </w:pPr>
            <w:r w:rsidRPr="00253E31">
              <w:rPr>
                <w:b/>
                <w:bCs/>
              </w:rPr>
              <w:t xml:space="preserve">Sadská </w:t>
            </w:r>
          </w:p>
        </w:tc>
        <w:tc>
          <w:tcPr>
            <w:tcW w:w="1119" w:type="dxa"/>
            <w:noWrap/>
            <w:hideMark/>
          </w:tcPr>
          <w:p w14:paraId="33CDB0AB" w14:textId="77777777" w:rsidR="00253E31" w:rsidRPr="00253E31" w:rsidRDefault="00253E31" w:rsidP="00253E31">
            <w:pPr>
              <w:pStyle w:val="Bezmezer"/>
              <w:jc w:val="right"/>
            </w:pPr>
            <w:r w:rsidRPr="00253E31">
              <w:t>220 131</w:t>
            </w:r>
          </w:p>
        </w:tc>
        <w:tc>
          <w:tcPr>
            <w:tcW w:w="1120" w:type="dxa"/>
            <w:noWrap/>
            <w:hideMark/>
          </w:tcPr>
          <w:p w14:paraId="74FF6084" w14:textId="77777777" w:rsidR="00253E31" w:rsidRPr="00253E31" w:rsidRDefault="00253E31" w:rsidP="00253E31">
            <w:pPr>
              <w:pStyle w:val="Bezmezer"/>
              <w:jc w:val="right"/>
            </w:pPr>
            <w:r w:rsidRPr="00253E31">
              <w:t>153 060</w:t>
            </w:r>
          </w:p>
        </w:tc>
        <w:tc>
          <w:tcPr>
            <w:tcW w:w="1120" w:type="dxa"/>
            <w:noWrap/>
            <w:hideMark/>
          </w:tcPr>
          <w:p w14:paraId="0426A457" w14:textId="77777777" w:rsidR="00253E31" w:rsidRPr="00253E31" w:rsidRDefault="00253E31" w:rsidP="00253E31">
            <w:pPr>
              <w:pStyle w:val="Bezmezer"/>
              <w:jc w:val="right"/>
            </w:pPr>
            <w:r w:rsidRPr="00253E31">
              <w:t>287 120</w:t>
            </w:r>
          </w:p>
        </w:tc>
        <w:tc>
          <w:tcPr>
            <w:tcW w:w="1119" w:type="dxa"/>
            <w:noWrap/>
            <w:hideMark/>
          </w:tcPr>
          <w:p w14:paraId="597B3ECC" w14:textId="77777777" w:rsidR="00253E31" w:rsidRPr="00253E31" w:rsidRDefault="00253E31" w:rsidP="00253E31">
            <w:pPr>
              <w:pStyle w:val="Bezmezer"/>
              <w:jc w:val="right"/>
            </w:pPr>
            <w:r w:rsidRPr="00253E31">
              <w:t>245 300</w:t>
            </w:r>
          </w:p>
        </w:tc>
        <w:tc>
          <w:tcPr>
            <w:tcW w:w="1120" w:type="dxa"/>
            <w:noWrap/>
            <w:hideMark/>
          </w:tcPr>
          <w:p w14:paraId="682503DB" w14:textId="77777777" w:rsidR="00253E31" w:rsidRPr="00253E31" w:rsidRDefault="00253E31" w:rsidP="00253E31">
            <w:pPr>
              <w:pStyle w:val="Bezmezer"/>
              <w:jc w:val="right"/>
            </w:pPr>
            <w:r w:rsidRPr="00253E31">
              <w:t>331 100</w:t>
            </w:r>
          </w:p>
        </w:tc>
        <w:tc>
          <w:tcPr>
            <w:tcW w:w="1120" w:type="dxa"/>
            <w:noWrap/>
            <w:hideMark/>
          </w:tcPr>
          <w:p w14:paraId="6F11CA0A" w14:textId="77777777" w:rsidR="00253E31" w:rsidRPr="00253E31" w:rsidRDefault="00253E31" w:rsidP="00253E31">
            <w:pPr>
              <w:pStyle w:val="Bezmezer"/>
              <w:jc w:val="right"/>
            </w:pPr>
            <w:r w:rsidRPr="00253E31">
              <w:t>119 800</w:t>
            </w:r>
          </w:p>
        </w:tc>
      </w:tr>
      <w:tr w:rsidR="00253E31" w:rsidRPr="00253E31" w14:paraId="1BAC48FA" w14:textId="77777777" w:rsidTr="00253E31">
        <w:trPr>
          <w:trHeight w:val="300"/>
        </w:trPr>
        <w:tc>
          <w:tcPr>
            <w:tcW w:w="2349" w:type="dxa"/>
            <w:noWrap/>
            <w:hideMark/>
          </w:tcPr>
          <w:p w14:paraId="1F73ADCF" w14:textId="202D2A71" w:rsidR="00253E31" w:rsidRPr="00253E31" w:rsidRDefault="00253E31" w:rsidP="00253E31">
            <w:pPr>
              <w:pStyle w:val="Bezmezer"/>
              <w:rPr>
                <w:b/>
                <w:bCs/>
              </w:rPr>
            </w:pPr>
            <w:r w:rsidRPr="00253E31">
              <w:rPr>
                <w:b/>
                <w:bCs/>
              </w:rPr>
              <w:t xml:space="preserve">Rokytnice nad Jizerou </w:t>
            </w:r>
          </w:p>
        </w:tc>
        <w:tc>
          <w:tcPr>
            <w:tcW w:w="1119" w:type="dxa"/>
            <w:noWrap/>
            <w:hideMark/>
          </w:tcPr>
          <w:p w14:paraId="33DFAC47" w14:textId="77777777" w:rsidR="00253E31" w:rsidRPr="00253E31" w:rsidRDefault="00253E31" w:rsidP="00253E31">
            <w:pPr>
              <w:pStyle w:val="Bezmezer"/>
              <w:jc w:val="right"/>
            </w:pPr>
            <w:r w:rsidRPr="00253E31">
              <w:t>152 700</w:t>
            </w:r>
          </w:p>
        </w:tc>
        <w:tc>
          <w:tcPr>
            <w:tcW w:w="1120" w:type="dxa"/>
            <w:noWrap/>
            <w:hideMark/>
          </w:tcPr>
          <w:p w14:paraId="26E0DD9C" w14:textId="77777777" w:rsidR="00253E31" w:rsidRPr="00253E31" w:rsidRDefault="00253E31" w:rsidP="00253E31">
            <w:pPr>
              <w:pStyle w:val="Bezmezer"/>
              <w:jc w:val="right"/>
            </w:pPr>
            <w:r w:rsidRPr="00253E31">
              <w:t>171 660</w:t>
            </w:r>
          </w:p>
        </w:tc>
        <w:tc>
          <w:tcPr>
            <w:tcW w:w="1120" w:type="dxa"/>
            <w:noWrap/>
            <w:hideMark/>
          </w:tcPr>
          <w:p w14:paraId="1BA27DE5" w14:textId="77777777" w:rsidR="00253E31" w:rsidRPr="00253E31" w:rsidRDefault="00253E31" w:rsidP="00253E31">
            <w:pPr>
              <w:pStyle w:val="Bezmezer"/>
              <w:jc w:val="right"/>
            </w:pPr>
            <w:r w:rsidRPr="00253E31">
              <w:t>172 030</w:t>
            </w:r>
          </w:p>
        </w:tc>
        <w:tc>
          <w:tcPr>
            <w:tcW w:w="1119" w:type="dxa"/>
            <w:noWrap/>
            <w:hideMark/>
          </w:tcPr>
          <w:p w14:paraId="43C473F6" w14:textId="77777777" w:rsidR="00253E31" w:rsidRPr="00253E31" w:rsidRDefault="00253E31" w:rsidP="00253E31">
            <w:pPr>
              <w:pStyle w:val="Bezmezer"/>
              <w:jc w:val="right"/>
            </w:pPr>
            <w:r w:rsidRPr="00253E31">
              <w:t>188 000</w:t>
            </w:r>
          </w:p>
        </w:tc>
        <w:tc>
          <w:tcPr>
            <w:tcW w:w="1120" w:type="dxa"/>
            <w:noWrap/>
            <w:hideMark/>
          </w:tcPr>
          <w:p w14:paraId="62A17FEE" w14:textId="77777777" w:rsidR="00253E31" w:rsidRPr="00253E31" w:rsidRDefault="00253E31" w:rsidP="00253E31">
            <w:pPr>
              <w:pStyle w:val="Bezmezer"/>
              <w:jc w:val="right"/>
            </w:pPr>
            <w:r w:rsidRPr="00253E31">
              <w:t>251 650</w:t>
            </w:r>
          </w:p>
        </w:tc>
        <w:tc>
          <w:tcPr>
            <w:tcW w:w="1120" w:type="dxa"/>
            <w:noWrap/>
            <w:hideMark/>
          </w:tcPr>
          <w:p w14:paraId="68B5A5F3" w14:textId="77777777" w:rsidR="00253E31" w:rsidRPr="00253E31" w:rsidRDefault="00253E31" w:rsidP="00253E31">
            <w:pPr>
              <w:pStyle w:val="Bezmezer"/>
              <w:jc w:val="right"/>
            </w:pPr>
            <w:r w:rsidRPr="00253E31">
              <w:t>231 906</w:t>
            </w:r>
          </w:p>
        </w:tc>
      </w:tr>
      <w:tr w:rsidR="00253E31" w:rsidRPr="00253E31" w14:paraId="73C15CB7" w14:textId="77777777" w:rsidTr="00253E31">
        <w:trPr>
          <w:trHeight w:val="300"/>
        </w:trPr>
        <w:tc>
          <w:tcPr>
            <w:tcW w:w="2349" w:type="dxa"/>
            <w:noWrap/>
            <w:hideMark/>
          </w:tcPr>
          <w:p w14:paraId="3B784F4D" w14:textId="7FC1FD8D" w:rsidR="00253E31" w:rsidRPr="00253E31" w:rsidRDefault="00253E31" w:rsidP="00253E31">
            <w:pPr>
              <w:pStyle w:val="Bezmezer"/>
              <w:rPr>
                <w:b/>
                <w:bCs/>
              </w:rPr>
            </w:pPr>
            <w:r w:rsidRPr="00253E31">
              <w:rPr>
                <w:b/>
                <w:bCs/>
              </w:rPr>
              <w:t xml:space="preserve">Malá Úpa </w:t>
            </w:r>
          </w:p>
        </w:tc>
        <w:tc>
          <w:tcPr>
            <w:tcW w:w="1119" w:type="dxa"/>
            <w:noWrap/>
            <w:hideMark/>
          </w:tcPr>
          <w:p w14:paraId="11870475" w14:textId="77777777" w:rsidR="00253E31" w:rsidRPr="00253E31" w:rsidRDefault="00253E31" w:rsidP="00253E31">
            <w:pPr>
              <w:pStyle w:val="Bezmezer"/>
              <w:jc w:val="right"/>
            </w:pPr>
            <w:r w:rsidRPr="00253E31">
              <w:t>222 276</w:t>
            </w:r>
          </w:p>
        </w:tc>
        <w:tc>
          <w:tcPr>
            <w:tcW w:w="1120" w:type="dxa"/>
            <w:noWrap/>
            <w:hideMark/>
          </w:tcPr>
          <w:p w14:paraId="03C2BAEC" w14:textId="77777777" w:rsidR="00253E31" w:rsidRPr="00253E31" w:rsidRDefault="00253E31" w:rsidP="00253E31">
            <w:pPr>
              <w:pStyle w:val="Bezmezer"/>
              <w:jc w:val="right"/>
            </w:pPr>
            <w:r w:rsidRPr="00253E31">
              <w:t>205 798</w:t>
            </w:r>
          </w:p>
        </w:tc>
        <w:tc>
          <w:tcPr>
            <w:tcW w:w="1120" w:type="dxa"/>
            <w:noWrap/>
            <w:hideMark/>
          </w:tcPr>
          <w:p w14:paraId="6089AEF9" w14:textId="77777777" w:rsidR="00253E31" w:rsidRPr="00253E31" w:rsidRDefault="00253E31" w:rsidP="00253E31">
            <w:pPr>
              <w:pStyle w:val="Bezmezer"/>
              <w:jc w:val="right"/>
            </w:pPr>
            <w:r w:rsidRPr="00253E31">
              <w:t>218 401</w:t>
            </w:r>
          </w:p>
        </w:tc>
        <w:tc>
          <w:tcPr>
            <w:tcW w:w="1119" w:type="dxa"/>
            <w:noWrap/>
            <w:hideMark/>
          </w:tcPr>
          <w:p w14:paraId="1D0A6BFD" w14:textId="77777777" w:rsidR="00253E31" w:rsidRPr="00253E31" w:rsidRDefault="00253E31" w:rsidP="00253E31">
            <w:pPr>
              <w:pStyle w:val="Bezmezer"/>
              <w:jc w:val="right"/>
            </w:pPr>
            <w:r w:rsidRPr="00253E31">
              <w:t>178 590</w:t>
            </w:r>
          </w:p>
        </w:tc>
        <w:tc>
          <w:tcPr>
            <w:tcW w:w="1120" w:type="dxa"/>
            <w:noWrap/>
            <w:hideMark/>
          </w:tcPr>
          <w:p w14:paraId="33DD811C" w14:textId="77777777" w:rsidR="00253E31" w:rsidRPr="00253E31" w:rsidRDefault="00253E31" w:rsidP="00253E31">
            <w:pPr>
              <w:pStyle w:val="Bezmezer"/>
              <w:jc w:val="right"/>
            </w:pPr>
            <w:r w:rsidRPr="00253E31">
              <w:t>238 480</w:t>
            </w:r>
          </w:p>
        </w:tc>
        <w:tc>
          <w:tcPr>
            <w:tcW w:w="1120" w:type="dxa"/>
            <w:noWrap/>
            <w:hideMark/>
          </w:tcPr>
          <w:p w14:paraId="53AECB7D" w14:textId="77777777" w:rsidR="00253E31" w:rsidRPr="00253E31" w:rsidRDefault="00253E31" w:rsidP="00253E31">
            <w:pPr>
              <w:pStyle w:val="Bezmezer"/>
              <w:jc w:val="right"/>
            </w:pPr>
            <w:r w:rsidRPr="00253E31">
              <w:t>169 250</w:t>
            </w:r>
          </w:p>
        </w:tc>
      </w:tr>
      <w:tr w:rsidR="00253E31" w:rsidRPr="00253E31" w14:paraId="200FCFDB" w14:textId="77777777" w:rsidTr="00253E31">
        <w:trPr>
          <w:trHeight w:val="300"/>
        </w:trPr>
        <w:tc>
          <w:tcPr>
            <w:tcW w:w="2349" w:type="dxa"/>
            <w:noWrap/>
            <w:hideMark/>
          </w:tcPr>
          <w:p w14:paraId="5C0EBE4E" w14:textId="5028F585" w:rsidR="00253E31" w:rsidRPr="00253E31" w:rsidRDefault="00253E31" w:rsidP="00253E31">
            <w:pPr>
              <w:pStyle w:val="Bezmezer"/>
              <w:rPr>
                <w:b/>
                <w:bCs/>
              </w:rPr>
            </w:pPr>
            <w:r w:rsidRPr="00253E31">
              <w:rPr>
                <w:b/>
                <w:bCs/>
              </w:rPr>
              <w:lastRenderedPageBreak/>
              <w:t xml:space="preserve">Mezina </w:t>
            </w:r>
          </w:p>
        </w:tc>
        <w:tc>
          <w:tcPr>
            <w:tcW w:w="1119" w:type="dxa"/>
            <w:noWrap/>
            <w:hideMark/>
          </w:tcPr>
          <w:p w14:paraId="3CA7B0D8" w14:textId="77777777" w:rsidR="00253E31" w:rsidRPr="00253E31" w:rsidRDefault="00253E31" w:rsidP="00253E31">
            <w:pPr>
              <w:pStyle w:val="Bezmezer"/>
              <w:jc w:val="right"/>
            </w:pPr>
            <w:r w:rsidRPr="00253E31">
              <w:t>170 030</w:t>
            </w:r>
          </w:p>
        </w:tc>
        <w:tc>
          <w:tcPr>
            <w:tcW w:w="1120" w:type="dxa"/>
            <w:noWrap/>
            <w:hideMark/>
          </w:tcPr>
          <w:p w14:paraId="083827A3" w14:textId="77777777" w:rsidR="00253E31" w:rsidRPr="00253E31" w:rsidRDefault="00253E31" w:rsidP="00253E31">
            <w:pPr>
              <w:pStyle w:val="Bezmezer"/>
              <w:jc w:val="right"/>
            </w:pPr>
            <w:r w:rsidRPr="00253E31">
              <w:t>261 649</w:t>
            </w:r>
          </w:p>
        </w:tc>
        <w:tc>
          <w:tcPr>
            <w:tcW w:w="1120" w:type="dxa"/>
            <w:noWrap/>
            <w:hideMark/>
          </w:tcPr>
          <w:p w14:paraId="6D555188" w14:textId="77777777" w:rsidR="00253E31" w:rsidRPr="00253E31" w:rsidRDefault="00253E31" w:rsidP="00253E31">
            <w:pPr>
              <w:pStyle w:val="Bezmezer"/>
              <w:jc w:val="right"/>
            </w:pPr>
            <w:r w:rsidRPr="00253E31">
              <w:t>278 440</w:t>
            </w:r>
          </w:p>
        </w:tc>
        <w:tc>
          <w:tcPr>
            <w:tcW w:w="1119" w:type="dxa"/>
            <w:noWrap/>
            <w:hideMark/>
          </w:tcPr>
          <w:p w14:paraId="7D25CCE2" w14:textId="77777777" w:rsidR="00253E31" w:rsidRPr="00253E31" w:rsidRDefault="00253E31" w:rsidP="00253E31">
            <w:pPr>
              <w:pStyle w:val="Bezmezer"/>
              <w:jc w:val="right"/>
            </w:pPr>
            <w:r w:rsidRPr="00253E31">
              <w:t>233 650</w:t>
            </w:r>
          </w:p>
        </w:tc>
        <w:tc>
          <w:tcPr>
            <w:tcW w:w="1120" w:type="dxa"/>
            <w:noWrap/>
            <w:hideMark/>
          </w:tcPr>
          <w:p w14:paraId="2E31EB52" w14:textId="77777777" w:rsidR="00253E31" w:rsidRPr="00253E31" w:rsidRDefault="00253E31" w:rsidP="00253E31">
            <w:pPr>
              <w:pStyle w:val="Bezmezer"/>
              <w:jc w:val="right"/>
            </w:pPr>
            <w:r w:rsidRPr="00253E31">
              <w:t>228 060</w:t>
            </w:r>
          </w:p>
        </w:tc>
        <w:tc>
          <w:tcPr>
            <w:tcW w:w="1120" w:type="dxa"/>
            <w:noWrap/>
            <w:hideMark/>
          </w:tcPr>
          <w:p w14:paraId="4C1D6DF3" w14:textId="77777777" w:rsidR="00253E31" w:rsidRPr="00253E31" w:rsidRDefault="00253E31" w:rsidP="00253E31">
            <w:pPr>
              <w:pStyle w:val="Bezmezer"/>
              <w:jc w:val="right"/>
            </w:pPr>
            <w:r w:rsidRPr="00253E31">
              <w:t>229 700</w:t>
            </w:r>
          </w:p>
        </w:tc>
      </w:tr>
      <w:tr w:rsidR="00253E31" w:rsidRPr="00253E31" w14:paraId="23C94214" w14:textId="77777777" w:rsidTr="00253E31">
        <w:trPr>
          <w:trHeight w:val="300"/>
        </w:trPr>
        <w:tc>
          <w:tcPr>
            <w:tcW w:w="2349" w:type="dxa"/>
            <w:noWrap/>
            <w:hideMark/>
          </w:tcPr>
          <w:p w14:paraId="19A5D077" w14:textId="4E5FCD5A" w:rsidR="00253E31" w:rsidRPr="00253E31" w:rsidRDefault="00253E31" w:rsidP="00253E31">
            <w:pPr>
              <w:pStyle w:val="Bezmezer"/>
              <w:rPr>
                <w:b/>
                <w:bCs/>
              </w:rPr>
            </w:pPr>
            <w:r w:rsidRPr="00253E31">
              <w:rPr>
                <w:b/>
                <w:bCs/>
              </w:rPr>
              <w:t xml:space="preserve">Potůčky </w:t>
            </w:r>
          </w:p>
        </w:tc>
        <w:tc>
          <w:tcPr>
            <w:tcW w:w="1119" w:type="dxa"/>
            <w:noWrap/>
            <w:hideMark/>
          </w:tcPr>
          <w:p w14:paraId="093B18C9" w14:textId="77777777" w:rsidR="00253E31" w:rsidRPr="00253E31" w:rsidRDefault="00253E31" w:rsidP="00253E31">
            <w:pPr>
              <w:pStyle w:val="Bezmezer"/>
              <w:jc w:val="right"/>
            </w:pPr>
            <w:r w:rsidRPr="00253E31">
              <w:t>276 480</w:t>
            </w:r>
          </w:p>
        </w:tc>
        <w:tc>
          <w:tcPr>
            <w:tcW w:w="1120" w:type="dxa"/>
            <w:noWrap/>
            <w:hideMark/>
          </w:tcPr>
          <w:p w14:paraId="3B32894C" w14:textId="77777777" w:rsidR="00253E31" w:rsidRPr="00253E31" w:rsidRDefault="00253E31" w:rsidP="00253E31">
            <w:pPr>
              <w:pStyle w:val="Bezmezer"/>
              <w:jc w:val="right"/>
            </w:pPr>
            <w:r w:rsidRPr="00253E31">
              <w:t>251 260</w:t>
            </w:r>
          </w:p>
        </w:tc>
        <w:tc>
          <w:tcPr>
            <w:tcW w:w="1120" w:type="dxa"/>
            <w:noWrap/>
            <w:hideMark/>
          </w:tcPr>
          <w:p w14:paraId="1CC9FDE1" w14:textId="77777777" w:rsidR="00253E31" w:rsidRPr="00253E31" w:rsidRDefault="00253E31" w:rsidP="00253E31">
            <w:pPr>
              <w:pStyle w:val="Bezmezer"/>
              <w:jc w:val="right"/>
            </w:pPr>
            <w:r w:rsidRPr="00253E31">
              <w:t>173 100</w:t>
            </w:r>
          </w:p>
        </w:tc>
        <w:tc>
          <w:tcPr>
            <w:tcW w:w="1119" w:type="dxa"/>
            <w:noWrap/>
            <w:hideMark/>
          </w:tcPr>
          <w:p w14:paraId="0C1D6F57" w14:textId="77777777" w:rsidR="00253E31" w:rsidRPr="00253E31" w:rsidRDefault="00253E31" w:rsidP="00253E31">
            <w:pPr>
              <w:pStyle w:val="Bezmezer"/>
              <w:jc w:val="right"/>
            </w:pPr>
            <w:r w:rsidRPr="00253E31">
              <w:t>144 340</w:t>
            </w:r>
          </w:p>
        </w:tc>
        <w:tc>
          <w:tcPr>
            <w:tcW w:w="1120" w:type="dxa"/>
            <w:noWrap/>
            <w:hideMark/>
          </w:tcPr>
          <w:p w14:paraId="604524D6" w14:textId="77777777" w:rsidR="00253E31" w:rsidRPr="00253E31" w:rsidRDefault="00253E31" w:rsidP="00253E31">
            <w:pPr>
              <w:pStyle w:val="Bezmezer"/>
              <w:jc w:val="right"/>
            </w:pPr>
            <w:r w:rsidRPr="00253E31">
              <w:t>226 960</w:t>
            </w:r>
          </w:p>
        </w:tc>
        <w:tc>
          <w:tcPr>
            <w:tcW w:w="1120" w:type="dxa"/>
            <w:noWrap/>
            <w:hideMark/>
          </w:tcPr>
          <w:p w14:paraId="57A3037A" w14:textId="77777777" w:rsidR="00253E31" w:rsidRPr="00253E31" w:rsidRDefault="00253E31" w:rsidP="00253E31">
            <w:pPr>
              <w:pStyle w:val="Bezmezer"/>
              <w:jc w:val="right"/>
            </w:pPr>
            <w:r w:rsidRPr="00253E31">
              <w:t>144 060</w:t>
            </w:r>
          </w:p>
        </w:tc>
      </w:tr>
      <w:tr w:rsidR="00253E31" w:rsidRPr="00253E31" w14:paraId="4F888B0B" w14:textId="77777777" w:rsidTr="00253E31">
        <w:trPr>
          <w:trHeight w:val="300"/>
        </w:trPr>
        <w:tc>
          <w:tcPr>
            <w:tcW w:w="2349" w:type="dxa"/>
            <w:noWrap/>
            <w:hideMark/>
          </w:tcPr>
          <w:p w14:paraId="7AF8BC2C" w14:textId="4C55CDF6" w:rsidR="00253E31" w:rsidRPr="00253E31" w:rsidRDefault="00253E31" w:rsidP="00253E31">
            <w:pPr>
              <w:pStyle w:val="Bezmezer"/>
              <w:rPr>
                <w:b/>
                <w:bCs/>
              </w:rPr>
            </w:pPr>
            <w:r w:rsidRPr="00253E31">
              <w:rPr>
                <w:b/>
                <w:bCs/>
              </w:rPr>
              <w:t xml:space="preserve">Mariánské Lázně </w:t>
            </w:r>
          </w:p>
        </w:tc>
        <w:tc>
          <w:tcPr>
            <w:tcW w:w="1119" w:type="dxa"/>
            <w:noWrap/>
            <w:hideMark/>
          </w:tcPr>
          <w:p w14:paraId="3357EC0E" w14:textId="77777777" w:rsidR="00253E31" w:rsidRPr="00253E31" w:rsidRDefault="00253E31" w:rsidP="00253E31">
            <w:pPr>
              <w:pStyle w:val="Bezmezer"/>
              <w:jc w:val="right"/>
            </w:pPr>
            <w:r w:rsidRPr="00253E31">
              <w:t>368 360</w:t>
            </w:r>
          </w:p>
        </w:tc>
        <w:tc>
          <w:tcPr>
            <w:tcW w:w="1120" w:type="dxa"/>
            <w:noWrap/>
            <w:hideMark/>
          </w:tcPr>
          <w:p w14:paraId="4F07A988" w14:textId="77777777" w:rsidR="00253E31" w:rsidRPr="00253E31" w:rsidRDefault="00253E31" w:rsidP="00253E31">
            <w:pPr>
              <w:pStyle w:val="Bezmezer"/>
              <w:jc w:val="right"/>
            </w:pPr>
            <w:r w:rsidRPr="00253E31">
              <w:t>335 500</w:t>
            </w:r>
          </w:p>
        </w:tc>
        <w:tc>
          <w:tcPr>
            <w:tcW w:w="1120" w:type="dxa"/>
            <w:noWrap/>
            <w:hideMark/>
          </w:tcPr>
          <w:p w14:paraId="73FF9514" w14:textId="77777777" w:rsidR="00253E31" w:rsidRPr="00253E31" w:rsidRDefault="00253E31" w:rsidP="00253E31">
            <w:pPr>
              <w:pStyle w:val="Bezmezer"/>
              <w:jc w:val="right"/>
            </w:pPr>
            <w:r w:rsidRPr="00253E31">
              <w:t>174 160</w:t>
            </w:r>
          </w:p>
        </w:tc>
        <w:tc>
          <w:tcPr>
            <w:tcW w:w="1119" w:type="dxa"/>
            <w:noWrap/>
            <w:hideMark/>
          </w:tcPr>
          <w:p w14:paraId="2F0715D4" w14:textId="77777777" w:rsidR="00253E31" w:rsidRPr="00253E31" w:rsidRDefault="00253E31" w:rsidP="00253E31">
            <w:pPr>
              <w:pStyle w:val="Bezmezer"/>
              <w:jc w:val="right"/>
            </w:pPr>
            <w:r w:rsidRPr="00253E31">
              <w:t>189 580</w:t>
            </w:r>
          </w:p>
        </w:tc>
        <w:tc>
          <w:tcPr>
            <w:tcW w:w="1120" w:type="dxa"/>
            <w:noWrap/>
            <w:hideMark/>
          </w:tcPr>
          <w:p w14:paraId="3DDD3FB5" w14:textId="77777777" w:rsidR="00253E31" w:rsidRPr="00253E31" w:rsidRDefault="00253E31" w:rsidP="00253E31">
            <w:pPr>
              <w:pStyle w:val="Bezmezer"/>
              <w:jc w:val="right"/>
            </w:pPr>
            <w:r w:rsidRPr="00253E31">
              <w:t>206 280</w:t>
            </w:r>
          </w:p>
        </w:tc>
        <w:tc>
          <w:tcPr>
            <w:tcW w:w="1120" w:type="dxa"/>
            <w:noWrap/>
            <w:hideMark/>
          </w:tcPr>
          <w:p w14:paraId="6BE1C67D" w14:textId="77777777" w:rsidR="00253E31" w:rsidRPr="00253E31" w:rsidRDefault="00253E31" w:rsidP="00253E31">
            <w:pPr>
              <w:pStyle w:val="Bezmezer"/>
              <w:jc w:val="right"/>
            </w:pPr>
            <w:r w:rsidRPr="00253E31">
              <w:t>179 260</w:t>
            </w:r>
          </w:p>
        </w:tc>
      </w:tr>
      <w:tr w:rsidR="00253E31" w:rsidRPr="00253E31" w14:paraId="33B05793" w14:textId="77777777" w:rsidTr="00253E31">
        <w:trPr>
          <w:trHeight w:val="300"/>
        </w:trPr>
        <w:tc>
          <w:tcPr>
            <w:tcW w:w="2349" w:type="dxa"/>
            <w:noWrap/>
            <w:hideMark/>
          </w:tcPr>
          <w:p w14:paraId="444AF28C" w14:textId="17DCF4BD" w:rsidR="00253E31" w:rsidRPr="00253E31" w:rsidRDefault="00253E31" w:rsidP="00253E31">
            <w:pPr>
              <w:pStyle w:val="Bezmezer"/>
              <w:rPr>
                <w:b/>
                <w:bCs/>
              </w:rPr>
            </w:pPr>
            <w:r w:rsidRPr="00253E31">
              <w:rPr>
                <w:b/>
                <w:bCs/>
              </w:rPr>
              <w:t xml:space="preserve">Kladno </w:t>
            </w:r>
          </w:p>
        </w:tc>
        <w:tc>
          <w:tcPr>
            <w:tcW w:w="1119" w:type="dxa"/>
            <w:noWrap/>
            <w:hideMark/>
          </w:tcPr>
          <w:p w14:paraId="0A47BEA1" w14:textId="77777777" w:rsidR="00253E31" w:rsidRPr="00253E31" w:rsidRDefault="00253E31" w:rsidP="00253E31">
            <w:pPr>
              <w:pStyle w:val="Bezmezer"/>
              <w:jc w:val="right"/>
            </w:pPr>
            <w:r w:rsidRPr="00253E31">
              <w:t>270 206</w:t>
            </w:r>
          </w:p>
        </w:tc>
        <w:tc>
          <w:tcPr>
            <w:tcW w:w="1120" w:type="dxa"/>
            <w:noWrap/>
            <w:hideMark/>
          </w:tcPr>
          <w:p w14:paraId="7D68CAD3" w14:textId="77777777" w:rsidR="00253E31" w:rsidRPr="00253E31" w:rsidRDefault="00253E31" w:rsidP="00253E31">
            <w:pPr>
              <w:pStyle w:val="Bezmezer"/>
              <w:jc w:val="right"/>
            </w:pPr>
            <w:r w:rsidRPr="00253E31">
              <w:t>291 106</w:t>
            </w:r>
          </w:p>
        </w:tc>
        <w:tc>
          <w:tcPr>
            <w:tcW w:w="1120" w:type="dxa"/>
            <w:noWrap/>
            <w:hideMark/>
          </w:tcPr>
          <w:p w14:paraId="383A0487" w14:textId="77777777" w:rsidR="00253E31" w:rsidRPr="00253E31" w:rsidRDefault="00253E31" w:rsidP="00253E31">
            <w:pPr>
              <w:pStyle w:val="Bezmezer"/>
              <w:jc w:val="right"/>
            </w:pPr>
            <w:r w:rsidRPr="00253E31">
              <w:t>293 230</w:t>
            </w:r>
          </w:p>
        </w:tc>
        <w:tc>
          <w:tcPr>
            <w:tcW w:w="1119" w:type="dxa"/>
            <w:noWrap/>
            <w:hideMark/>
          </w:tcPr>
          <w:p w14:paraId="24CC7CE5" w14:textId="77777777" w:rsidR="00253E31" w:rsidRPr="00253E31" w:rsidRDefault="00253E31" w:rsidP="00253E31">
            <w:pPr>
              <w:pStyle w:val="Bezmezer"/>
              <w:jc w:val="right"/>
            </w:pPr>
            <w:r w:rsidRPr="00253E31">
              <w:t>145 909</w:t>
            </w:r>
          </w:p>
        </w:tc>
        <w:tc>
          <w:tcPr>
            <w:tcW w:w="1120" w:type="dxa"/>
            <w:noWrap/>
            <w:hideMark/>
          </w:tcPr>
          <w:p w14:paraId="53E02C77" w14:textId="77777777" w:rsidR="00253E31" w:rsidRPr="00253E31" w:rsidRDefault="00253E31" w:rsidP="00253E31">
            <w:pPr>
              <w:pStyle w:val="Bezmezer"/>
              <w:jc w:val="right"/>
            </w:pPr>
            <w:r w:rsidRPr="00253E31">
              <w:t>172 109</w:t>
            </w:r>
          </w:p>
        </w:tc>
        <w:tc>
          <w:tcPr>
            <w:tcW w:w="1120" w:type="dxa"/>
            <w:noWrap/>
            <w:hideMark/>
          </w:tcPr>
          <w:p w14:paraId="5A16B1D0" w14:textId="77777777" w:rsidR="00253E31" w:rsidRPr="00253E31" w:rsidRDefault="00253E31" w:rsidP="00253E31">
            <w:pPr>
              <w:pStyle w:val="Bezmezer"/>
              <w:jc w:val="right"/>
            </w:pPr>
            <w:r w:rsidRPr="00253E31">
              <w:t>98 703</w:t>
            </w:r>
          </w:p>
        </w:tc>
      </w:tr>
      <w:tr w:rsidR="00253E31" w:rsidRPr="00253E31" w14:paraId="654E6F40" w14:textId="77777777" w:rsidTr="00253E31">
        <w:trPr>
          <w:trHeight w:val="300"/>
        </w:trPr>
        <w:tc>
          <w:tcPr>
            <w:tcW w:w="2349" w:type="dxa"/>
            <w:noWrap/>
            <w:hideMark/>
          </w:tcPr>
          <w:p w14:paraId="0F1C622B" w14:textId="12A5BD05" w:rsidR="00253E31" w:rsidRPr="00253E31" w:rsidRDefault="00253E31" w:rsidP="00253E31">
            <w:pPr>
              <w:pStyle w:val="Bezmezer"/>
              <w:rPr>
                <w:b/>
                <w:bCs/>
              </w:rPr>
            </w:pPr>
            <w:r w:rsidRPr="00253E31">
              <w:rPr>
                <w:b/>
                <w:bCs/>
              </w:rPr>
              <w:t xml:space="preserve">Nový Jičín </w:t>
            </w:r>
          </w:p>
        </w:tc>
        <w:tc>
          <w:tcPr>
            <w:tcW w:w="1119" w:type="dxa"/>
            <w:noWrap/>
            <w:hideMark/>
          </w:tcPr>
          <w:p w14:paraId="4EEED533" w14:textId="77777777" w:rsidR="00253E31" w:rsidRPr="00253E31" w:rsidRDefault="00253E31" w:rsidP="00253E31">
            <w:pPr>
              <w:pStyle w:val="Bezmezer"/>
              <w:jc w:val="right"/>
            </w:pPr>
            <w:r w:rsidRPr="00253E31">
              <w:t>109 716</w:t>
            </w:r>
          </w:p>
        </w:tc>
        <w:tc>
          <w:tcPr>
            <w:tcW w:w="1120" w:type="dxa"/>
            <w:noWrap/>
            <w:hideMark/>
          </w:tcPr>
          <w:p w14:paraId="3B75ED9A" w14:textId="77777777" w:rsidR="00253E31" w:rsidRPr="00253E31" w:rsidRDefault="00253E31" w:rsidP="00253E31">
            <w:pPr>
              <w:pStyle w:val="Bezmezer"/>
              <w:jc w:val="right"/>
            </w:pPr>
            <w:r w:rsidRPr="00253E31">
              <w:t>132 555</w:t>
            </w:r>
          </w:p>
        </w:tc>
        <w:tc>
          <w:tcPr>
            <w:tcW w:w="1120" w:type="dxa"/>
            <w:noWrap/>
            <w:hideMark/>
          </w:tcPr>
          <w:p w14:paraId="36291240" w14:textId="77777777" w:rsidR="00253E31" w:rsidRPr="00253E31" w:rsidRDefault="00253E31" w:rsidP="00253E31">
            <w:pPr>
              <w:pStyle w:val="Bezmezer"/>
              <w:jc w:val="right"/>
            </w:pPr>
            <w:r w:rsidRPr="00253E31">
              <w:t>181 074</w:t>
            </w:r>
          </w:p>
        </w:tc>
        <w:tc>
          <w:tcPr>
            <w:tcW w:w="1119" w:type="dxa"/>
            <w:noWrap/>
            <w:hideMark/>
          </w:tcPr>
          <w:p w14:paraId="60ADEAE7" w14:textId="77777777" w:rsidR="00253E31" w:rsidRPr="00253E31" w:rsidRDefault="00253E31" w:rsidP="00253E31">
            <w:pPr>
              <w:pStyle w:val="Bezmezer"/>
              <w:jc w:val="right"/>
            </w:pPr>
            <w:r w:rsidRPr="00253E31">
              <w:t>174 338</w:t>
            </w:r>
          </w:p>
        </w:tc>
        <w:tc>
          <w:tcPr>
            <w:tcW w:w="1120" w:type="dxa"/>
            <w:noWrap/>
            <w:hideMark/>
          </w:tcPr>
          <w:p w14:paraId="0B198EF7" w14:textId="77777777" w:rsidR="00253E31" w:rsidRPr="00253E31" w:rsidRDefault="00253E31" w:rsidP="00253E31">
            <w:pPr>
              <w:pStyle w:val="Bezmezer"/>
              <w:jc w:val="right"/>
            </w:pPr>
            <w:r w:rsidRPr="00253E31">
              <w:t>162 026</w:t>
            </w:r>
          </w:p>
        </w:tc>
        <w:tc>
          <w:tcPr>
            <w:tcW w:w="1120" w:type="dxa"/>
            <w:noWrap/>
            <w:hideMark/>
          </w:tcPr>
          <w:p w14:paraId="6E8E548C" w14:textId="77777777" w:rsidR="00253E31" w:rsidRPr="00253E31" w:rsidRDefault="00253E31" w:rsidP="00253E31">
            <w:pPr>
              <w:pStyle w:val="Bezmezer"/>
              <w:jc w:val="right"/>
            </w:pPr>
            <w:r w:rsidRPr="00253E31">
              <w:t>183 000</w:t>
            </w:r>
          </w:p>
        </w:tc>
      </w:tr>
      <w:tr w:rsidR="00253E31" w:rsidRPr="00253E31" w14:paraId="679CC625" w14:textId="77777777" w:rsidTr="00253E31">
        <w:trPr>
          <w:trHeight w:val="300"/>
        </w:trPr>
        <w:tc>
          <w:tcPr>
            <w:tcW w:w="2349" w:type="dxa"/>
            <w:noWrap/>
            <w:hideMark/>
          </w:tcPr>
          <w:p w14:paraId="0D0ED5C7" w14:textId="7B5131CB" w:rsidR="00253E31" w:rsidRPr="00253E31" w:rsidRDefault="00253E31" w:rsidP="00253E31">
            <w:pPr>
              <w:pStyle w:val="Bezmezer"/>
              <w:rPr>
                <w:b/>
                <w:bCs/>
              </w:rPr>
            </w:pPr>
            <w:r w:rsidRPr="00253E31">
              <w:rPr>
                <w:b/>
                <w:bCs/>
              </w:rPr>
              <w:t xml:space="preserve">Janské Lázně </w:t>
            </w:r>
          </w:p>
        </w:tc>
        <w:tc>
          <w:tcPr>
            <w:tcW w:w="1119" w:type="dxa"/>
            <w:noWrap/>
            <w:hideMark/>
          </w:tcPr>
          <w:p w14:paraId="0D2BD983" w14:textId="77777777" w:rsidR="00253E31" w:rsidRPr="00253E31" w:rsidRDefault="00253E31" w:rsidP="00253E31">
            <w:pPr>
              <w:pStyle w:val="Bezmezer"/>
              <w:jc w:val="right"/>
            </w:pPr>
            <w:r w:rsidRPr="00253E31">
              <w:t>98 720</w:t>
            </w:r>
          </w:p>
        </w:tc>
        <w:tc>
          <w:tcPr>
            <w:tcW w:w="1120" w:type="dxa"/>
            <w:noWrap/>
            <w:hideMark/>
          </w:tcPr>
          <w:p w14:paraId="66441C20" w14:textId="77777777" w:rsidR="00253E31" w:rsidRPr="00253E31" w:rsidRDefault="00253E31" w:rsidP="00253E31">
            <w:pPr>
              <w:pStyle w:val="Bezmezer"/>
              <w:jc w:val="right"/>
            </w:pPr>
            <w:r w:rsidRPr="00253E31">
              <w:t>113 690</w:t>
            </w:r>
          </w:p>
        </w:tc>
        <w:tc>
          <w:tcPr>
            <w:tcW w:w="1120" w:type="dxa"/>
            <w:noWrap/>
            <w:hideMark/>
          </w:tcPr>
          <w:p w14:paraId="5DF7F7E7" w14:textId="77777777" w:rsidR="00253E31" w:rsidRPr="00253E31" w:rsidRDefault="00253E31" w:rsidP="00253E31">
            <w:pPr>
              <w:pStyle w:val="Bezmezer"/>
              <w:jc w:val="right"/>
            </w:pPr>
            <w:r w:rsidRPr="00253E31">
              <w:t>122 388</w:t>
            </w:r>
          </w:p>
        </w:tc>
        <w:tc>
          <w:tcPr>
            <w:tcW w:w="1119" w:type="dxa"/>
            <w:noWrap/>
            <w:hideMark/>
          </w:tcPr>
          <w:p w14:paraId="0CEE3190" w14:textId="77777777" w:rsidR="00253E31" w:rsidRPr="00253E31" w:rsidRDefault="00253E31" w:rsidP="00253E31">
            <w:pPr>
              <w:pStyle w:val="Bezmezer"/>
              <w:jc w:val="right"/>
            </w:pPr>
            <w:r w:rsidRPr="00253E31">
              <w:t>109 585</w:t>
            </w:r>
          </w:p>
        </w:tc>
        <w:tc>
          <w:tcPr>
            <w:tcW w:w="1120" w:type="dxa"/>
            <w:noWrap/>
            <w:hideMark/>
          </w:tcPr>
          <w:p w14:paraId="28F01038" w14:textId="77777777" w:rsidR="00253E31" w:rsidRPr="00253E31" w:rsidRDefault="00253E31" w:rsidP="00253E31">
            <w:pPr>
              <w:pStyle w:val="Bezmezer"/>
              <w:jc w:val="right"/>
            </w:pPr>
            <w:r w:rsidRPr="00253E31">
              <w:t>151 851</w:t>
            </w:r>
          </w:p>
        </w:tc>
        <w:tc>
          <w:tcPr>
            <w:tcW w:w="1120" w:type="dxa"/>
            <w:noWrap/>
            <w:hideMark/>
          </w:tcPr>
          <w:p w14:paraId="1CAB02F2" w14:textId="77777777" w:rsidR="00253E31" w:rsidRPr="00253E31" w:rsidRDefault="00253E31" w:rsidP="00253E31">
            <w:pPr>
              <w:pStyle w:val="Bezmezer"/>
              <w:jc w:val="right"/>
            </w:pPr>
            <w:r w:rsidRPr="00253E31">
              <w:t>139 687</w:t>
            </w:r>
          </w:p>
        </w:tc>
      </w:tr>
      <w:tr w:rsidR="00253E31" w:rsidRPr="00253E31" w14:paraId="782C31AE" w14:textId="77777777" w:rsidTr="00253E31">
        <w:trPr>
          <w:trHeight w:val="300"/>
        </w:trPr>
        <w:tc>
          <w:tcPr>
            <w:tcW w:w="2349" w:type="dxa"/>
            <w:noWrap/>
            <w:hideMark/>
          </w:tcPr>
          <w:p w14:paraId="046A572E" w14:textId="74F035CC" w:rsidR="00253E31" w:rsidRPr="00253E31" w:rsidRDefault="00253E31" w:rsidP="00253E31">
            <w:pPr>
              <w:pStyle w:val="Bezmezer"/>
              <w:rPr>
                <w:b/>
                <w:bCs/>
              </w:rPr>
            </w:pPr>
            <w:r w:rsidRPr="00253E31">
              <w:rPr>
                <w:b/>
                <w:bCs/>
              </w:rPr>
              <w:t xml:space="preserve">Citice </w:t>
            </w:r>
          </w:p>
        </w:tc>
        <w:tc>
          <w:tcPr>
            <w:tcW w:w="1119" w:type="dxa"/>
            <w:noWrap/>
            <w:hideMark/>
          </w:tcPr>
          <w:p w14:paraId="7E9F3C1A" w14:textId="77777777" w:rsidR="00253E31" w:rsidRPr="00253E31" w:rsidRDefault="00253E31" w:rsidP="00253E31">
            <w:pPr>
              <w:pStyle w:val="Bezmezer"/>
              <w:jc w:val="right"/>
            </w:pPr>
            <w:r w:rsidRPr="00253E31">
              <w:t>500</w:t>
            </w:r>
          </w:p>
        </w:tc>
        <w:tc>
          <w:tcPr>
            <w:tcW w:w="1120" w:type="dxa"/>
            <w:noWrap/>
            <w:hideMark/>
          </w:tcPr>
          <w:p w14:paraId="3DD19AB8" w14:textId="77777777" w:rsidR="00253E31" w:rsidRPr="00253E31" w:rsidRDefault="00253E31" w:rsidP="00253E31">
            <w:pPr>
              <w:pStyle w:val="Bezmezer"/>
              <w:jc w:val="right"/>
            </w:pPr>
            <w:r w:rsidRPr="00253E31">
              <w:t>28 640</w:t>
            </w:r>
          </w:p>
        </w:tc>
        <w:tc>
          <w:tcPr>
            <w:tcW w:w="1120" w:type="dxa"/>
            <w:noWrap/>
            <w:hideMark/>
          </w:tcPr>
          <w:p w14:paraId="2D2966A0" w14:textId="77777777" w:rsidR="00253E31" w:rsidRPr="00253E31" w:rsidRDefault="00253E31" w:rsidP="00253E31">
            <w:pPr>
              <w:pStyle w:val="Bezmezer"/>
              <w:jc w:val="right"/>
            </w:pPr>
            <w:r w:rsidRPr="00253E31">
              <w:t>82 600</w:t>
            </w:r>
          </w:p>
        </w:tc>
        <w:tc>
          <w:tcPr>
            <w:tcW w:w="1119" w:type="dxa"/>
            <w:noWrap/>
            <w:hideMark/>
          </w:tcPr>
          <w:p w14:paraId="2852E38A" w14:textId="77777777" w:rsidR="00253E31" w:rsidRPr="00253E31" w:rsidRDefault="00253E31" w:rsidP="00253E31">
            <w:pPr>
              <w:pStyle w:val="Bezmezer"/>
              <w:jc w:val="right"/>
            </w:pPr>
            <w:r w:rsidRPr="00253E31">
              <w:t>110 000</w:t>
            </w:r>
          </w:p>
        </w:tc>
        <w:tc>
          <w:tcPr>
            <w:tcW w:w="1120" w:type="dxa"/>
            <w:noWrap/>
            <w:hideMark/>
          </w:tcPr>
          <w:p w14:paraId="0EEFEFB1" w14:textId="77777777" w:rsidR="00253E31" w:rsidRPr="00253E31" w:rsidRDefault="00253E31" w:rsidP="00253E31">
            <w:pPr>
              <w:pStyle w:val="Bezmezer"/>
              <w:jc w:val="right"/>
            </w:pPr>
            <w:r w:rsidRPr="00253E31">
              <w:t>130 000</w:t>
            </w:r>
          </w:p>
        </w:tc>
        <w:tc>
          <w:tcPr>
            <w:tcW w:w="1120" w:type="dxa"/>
            <w:noWrap/>
            <w:hideMark/>
          </w:tcPr>
          <w:p w14:paraId="25CB0283" w14:textId="77777777" w:rsidR="00253E31" w:rsidRPr="00253E31" w:rsidRDefault="00253E31" w:rsidP="00253E31">
            <w:pPr>
              <w:pStyle w:val="Bezmezer"/>
              <w:jc w:val="right"/>
            </w:pPr>
            <w:r w:rsidRPr="00253E31">
              <w:t>80 000</w:t>
            </w:r>
          </w:p>
        </w:tc>
      </w:tr>
      <w:tr w:rsidR="00253E31" w:rsidRPr="00253E31" w14:paraId="72064CB6" w14:textId="77777777" w:rsidTr="00253E31">
        <w:trPr>
          <w:trHeight w:val="300"/>
        </w:trPr>
        <w:tc>
          <w:tcPr>
            <w:tcW w:w="2349" w:type="dxa"/>
            <w:noWrap/>
            <w:hideMark/>
          </w:tcPr>
          <w:p w14:paraId="527AD519" w14:textId="3E4CD975" w:rsidR="00253E31" w:rsidRPr="00253E31" w:rsidRDefault="00253E31" w:rsidP="00253E31">
            <w:pPr>
              <w:pStyle w:val="Bezmezer"/>
              <w:rPr>
                <w:b/>
                <w:bCs/>
              </w:rPr>
            </w:pPr>
            <w:r w:rsidRPr="00253E31">
              <w:rPr>
                <w:b/>
                <w:bCs/>
              </w:rPr>
              <w:t xml:space="preserve">Kořenov </w:t>
            </w:r>
          </w:p>
        </w:tc>
        <w:tc>
          <w:tcPr>
            <w:tcW w:w="1119" w:type="dxa"/>
            <w:noWrap/>
            <w:hideMark/>
          </w:tcPr>
          <w:p w14:paraId="4D4E07B5" w14:textId="77777777" w:rsidR="00253E31" w:rsidRPr="00253E31" w:rsidRDefault="00253E31" w:rsidP="00253E31">
            <w:pPr>
              <w:pStyle w:val="Bezmezer"/>
              <w:jc w:val="right"/>
            </w:pPr>
            <w:r w:rsidRPr="00253E31">
              <w:t>88 780</w:t>
            </w:r>
          </w:p>
        </w:tc>
        <w:tc>
          <w:tcPr>
            <w:tcW w:w="1120" w:type="dxa"/>
            <w:noWrap/>
            <w:hideMark/>
          </w:tcPr>
          <w:p w14:paraId="458A8C9C" w14:textId="77777777" w:rsidR="00253E31" w:rsidRPr="00253E31" w:rsidRDefault="00253E31" w:rsidP="00253E31">
            <w:pPr>
              <w:pStyle w:val="Bezmezer"/>
              <w:jc w:val="right"/>
            </w:pPr>
            <w:r w:rsidRPr="00253E31">
              <w:t>72 220</w:t>
            </w:r>
          </w:p>
        </w:tc>
        <w:tc>
          <w:tcPr>
            <w:tcW w:w="1120" w:type="dxa"/>
            <w:noWrap/>
            <w:hideMark/>
          </w:tcPr>
          <w:p w14:paraId="6F411F0D" w14:textId="77777777" w:rsidR="00253E31" w:rsidRPr="00253E31" w:rsidRDefault="00253E31" w:rsidP="00253E31">
            <w:pPr>
              <w:pStyle w:val="Bezmezer"/>
              <w:jc w:val="right"/>
            </w:pPr>
            <w:r w:rsidRPr="00253E31">
              <w:t>58 644</w:t>
            </w:r>
          </w:p>
        </w:tc>
        <w:tc>
          <w:tcPr>
            <w:tcW w:w="1119" w:type="dxa"/>
            <w:noWrap/>
            <w:hideMark/>
          </w:tcPr>
          <w:p w14:paraId="30512285" w14:textId="77777777" w:rsidR="00253E31" w:rsidRPr="00253E31" w:rsidRDefault="00253E31" w:rsidP="00253E31">
            <w:pPr>
              <w:pStyle w:val="Bezmezer"/>
              <w:jc w:val="right"/>
            </w:pPr>
            <w:r w:rsidRPr="00253E31">
              <w:t>39 880</w:t>
            </w:r>
          </w:p>
        </w:tc>
        <w:tc>
          <w:tcPr>
            <w:tcW w:w="1120" w:type="dxa"/>
            <w:noWrap/>
            <w:hideMark/>
          </w:tcPr>
          <w:p w14:paraId="33A61844" w14:textId="77777777" w:rsidR="00253E31" w:rsidRPr="00253E31" w:rsidRDefault="00253E31" w:rsidP="00253E31">
            <w:pPr>
              <w:pStyle w:val="Bezmezer"/>
              <w:jc w:val="right"/>
            </w:pPr>
            <w:r w:rsidRPr="00253E31">
              <w:t>103 240</w:t>
            </w:r>
          </w:p>
        </w:tc>
        <w:tc>
          <w:tcPr>
            <w:tcW w:w="1120" w:type="dxa"/>
            <w:noWrap/>
            <w:hideMark/>
          </w:tcPr>
          <w:p w14:paraId="05FDBB47" w14:textId="77777777" w:rsidR="00253E31" w:rsidRPr="00253E31" w:rsidRDefault="00253E31" w:rsidP="00253E31">
            <w:pPr>
              <w:pStyle w:val="Bezmezer"/>
              <w:jc w:val="right"/>
            </w:pPr>
            <w:r w:rsidRPr="00253E31">
              <w:t>84 860</w:t>
            </w:r>
          </w:p>
        </w:tc>
      </w:tr>
      <w:tr w:rsidR="00447F8A" w:rsidRPr="003B1999" w14:paraId="165F6AAF" w14:textId="77777777" w:rsidTr="00253E31">
        <w:trPr>
          <w:trHeight w:val="300"/>
        </w:trPr>
        <w:tc>
          <w:tcPr>
            <w:tcW w:w="2349" w:type="dxa"/>
            <w:noWrap/>
          </w:tcPr>
          <w:p w14:paraId="22C74BF7" w14:textId="6F8AFF89" w:rsidR="00447F8A" w:rsidRPr="003B1999" w:rsidRDefault="00447F8A" w:rsidP="00447F8A">
            <w:pPr>
              <w:pStyle w:val="Bezmezer"/>
              <w:rPr>
                <w:b/>
                <w:bCs/>
                <w:i/>
                <w:iCs/>
              </w:rPr>
            </w:pPr>
            <w:r w:rsidRPr="003B1999">
              <w:rPr>
                <w:b/>
                <w:bCs/>
                <w:i/>
                <w:iCs/>
              </w:rPr>
              <w:t>Celkem</w:t>
            </w:r>
            <w:r w:rsidR="00355E20" w:rsidRPr="003B1999">
              <w:rPr>
                <w:b/>
                <w:bCs/>
                <w:i/>
                <w:iCs/>
              </w:rPr>
              <w:t xml:space="preserve"> všechny obce</w:t>
            </w:r>
          </w:p>
        </w:tc>
        <w:tc>
          <w:tcPr>
            <w:tcW w:w="1119" w:type="dxa"/>
            <w:noWrap/>
          </w:tcPr>
          <w:p w14:paraId="52B9F9BA" w14:textId="6A6AEB40" w:rsidR="00447F8A" w:rsidRPr="003B1999" w:rsidRDefault="00447F8A" w:rsidP="00447F8A">
            <w:pPr>
              <w:pStyle w:val="Bezmezer"/>
              <w:jc w:val="right"/>
              <w:rPr>
                <w:i/>
                <w:iCs/>
              </w:rPr>
            </w:pPr>
            <w:r w:rsidRPr="003B1999">
              <w:rPr>
                <w:i/>
                <w:iCs/>
              </w:rPr>
              <w:t>19</w:t>
            </w:r>
            <w:r w:rsidR="00B0404C" w:rsidRPr="003B1999">
              <w:rPr>
                <w:i/>
                <w:iCs/>
              </w:rPr>
              <w:t>,</w:t>
            </w:r>
            <w:r w:rsidRPr="003B1999">
              <w:rPr>
                <w:i/>
                <w:iCs/>
              </w:rPr>
              <w:t>47</w:t>
            </w:r>
            <w:r w:rsidR="00B0404C" w:rsidRPr="003B1999">
              <w:rPr>
                <w:i/>
                <w:iCs/>
              </w:rPr>
              <w:t xml:space="preserve"> mil.</w:t>
            </w:r>
          </w:p>
        </w:tc>
        <w:tc>
          <w:tcPr>
            <w:tcW w:w="1120" w:type="dxa"/>
            <w:noWrap/>
          </w:tcPr>
          <w:p w14:paraId="43AE3AD9" w14:textId="6547E921" w:rsidR="00447F8A" w:rsidRPr="003B1999" w:rsidRDefault="00447F8A" w:rsidP="00447F8A">
            <w:pPr>
              <w:pStyle w:val="Bezmezer"/>
              <w:jc w:val="right"/>
              <w:rPr>
                <w:i/>
                <w:iCs/>
              </w:rPr>
            </w:pPr>
            <w:r w:rsidRPr="003B1999">
              <w:rPr>
                <w:i/>
                <w:iCs/>
              </w:rPr>
              <w:t>19</w:t>
            </w:r>
            <w:r w:rsidR="00B0404C" w:rsidRPr="003B1999">
              <w:rPr>
                <w:i/>
                <w:iCs/>
              </w:rPr>
              <w:t>,</w:t>
            </w:r>
            <w:r w:rsidRPr="003B1999">
              <w:rPr>
                <w:i/>
                <w:iCs/>
              </w:rPr>
              <w:t>13</w:t>
            </w:r>
            <w:r w:rsidR="00B0404C" w:rsidRPr="003B1999">
              <w:rPr>
                <w:i/>
                <w:iCs/>
              </w:rPr>
              <w:t xml:space="preserve"> mil.</w:t>
            </w:r>
          </w:p>
        </w:tc>
        <w:tc>
          <w:tcPr>
            <w:tcW w:w="1120" w:type="dxa"/>
            <w:noWrap/>
          </w:tcPr>
          <w:p w14:paraId="0E146E5A" w14:textId="6C9B1353" w:rsidR="00447F8A" w:rsidRPr="003B1999" w:rsidRDefault="00447F8A" w:rsidP="00447F8A">
            <w:pPr>
              <w:pStyle w:val="Bezmezer"/>
              <w:jc w:val="right"/>
              <w:rPr>
                <w:i/>
                <w:iCs/>
              </w:rPr>
            </w:pPr>
            <w:r w:rsidRPr="003B1999">
              <w:rPr>
                <w:i/>
                <w:iCs/>
              </w:rPr>
              <w:t>13</w:t>
            </w:r>
            <w:r w:rsidR="00B0404C" w:rsidRPr="003B1999">
              <w:rPr>
                <w:i/>
                <w:iCs/>
              </w:rPr>
              <w:t>,</w:t>
            </w:r>
            <w:r w:rsidRPr="003B1999">
              <w:rPr>
                <w:i/>
                <w:iCs/>
              </w:rPr>
              <w:t>9</w:t>
            </w:r>
            <w:r w:rsidR="00B0404C" w:rsidRPr="003B1999">
              <w:rPr>
                <w:i/>
                <w:iCs/>
              </w:rPr>
              <w:t>7 mil.</w:t>
            </w:r>
          </w:p>
        </w:tc>
        <w:tc>
          <w:tcPr>
            <w:tcW w:w="1119" w:type="dxa"/>
            <w:noWrap/>
          </w:tcPr>
          <w:p w14:paraId="40DA2C2A" w14:textId="2935A9D8" w:rsidR="00447F8A" w:rsidRPr="003B1999" w:rsidRDefault="00447F8A" w:rsidP="00447F8A">
            <w:pPr>
              <w:pStyle w:val="Bezmezer"/>
              <w:jc w:val="right"/>
              <w:rPr>
                <w:i/>
                <w:iCs/>
              </w:rPr>
            </w:pPr>
            <w:r w:rsidRPr="003B1999">
              <w:rPr>
                <w:i/>
                <w:iCs/>
              </w:rPr>
              <w:t>11</w:t>
            </w:r>
            <w:r w:rsidR="00B0404C" w:rsidRPr="003B1999">
              <w:rPr>
                <w:i/>
                <w:iCs/>
              </w:rPr>
              <w:t>,</w:t>
            </w:r>
            <w:r w:rsidRPr="003B1999">
              <w:rPr>
                <w:i/>
                <w:iCs/>
              </w:rPr>
              <w:t>3</w:t>
            </w:r>
            <w:r w:rsidR="00B0404C" w:rsidRPr="003B1999">
              <w:rPr>
                <w:i/>
                <w:iCs/>
              </w:rPr>
              <w:t>7 mil.</w:t>
            </w:r>
          </w:p>
        </w:tc>
        <w:tc>
          <w:tcPr>
            <w:tcW w:w="1120" w:type="dxa"/>
            <w:noWrap/>
          </w:tcPr>
          <w:p w14:paraId="0CDD2D50" w14:textId="4F66519A" w:rsidR="00447F8A" w:rsidRPr="003B1999" w:rsidRDefault="00447F8A" w:rsidP="00447F8A">
            <w:pPr>
              <w:pStyle w:val="Bezmezer"/>
              <w:jc w:val="right"/>
              <w:rPr>
                <w:i/>
                <w:iCs/>
              </w:rPr>
            </w:pPr>
            <w:r w:rsidRPr="003B1999">
              <w:rPr>
                <w:i/>
                <w:iCs/>
              </w:rPr>
              <w:t>12</w:t>
            </w:r>
            <w:r w:rsidR="00B0404C" w:rsidRPr="003B1999">
              <w:rPr>
                <w:i/>
                <w:iCs/>
              </w:rPr>
              <w:t>,</w:t>
            </w:r>
            <w:r w:rsidRPr="003B1999">
              <w:rPr>
                <w:i/>
                <w:iCs/>
              </w:rPr>
              <w:t>6</w:t>
            </w:r>
            <w:r w:rsidR="00B0404C" w:rsidRPr="003B1999">
              <w:rPr>
                <w:i/>
                <w:iCs/>
              </w:rPr>
              <w:t>5 mil.</w:t>
            </w:r>
          </w:p>
        </w:tc>
        <w:tc>
          <w:tcPr>
            <w:tcW w:w="1120" w:type="dxa"/>
            <w:noWrap/>
          </w:tcPr>
          <w:p w14:paraId="1C2018AD" w14:textId="6162EC0E" w:rsidR="00447F8A" w:rsidRPr="003B1999" w:rsidRDefault="00447F8A" w:rsidP="00447F8A">
            <w:pPr>
              <w:pStyle w:val="Bezmezer"/>
              <w:jc w:val="right"/>
              <w:rPr>
                <w:i/>
                <w:iCs/>
              </w:rPr>
            </w:pPr>
            <w:r w:rsidRPr="003B1999">
              <w:rPr>
                <w:i/>
                <w:iCs/>
              </w:rPr>
              <w:t>11</w:t>
            </w:r>
            <w:r w:rsidR="00B0404C" w:rsidRPr="003B1999">
              <w:rPr>
                <w:i/>
                <w:iCs/>
              </w:rPr>
              <w:t>,</w:t>
            </w:r>
            <w:r w:rsidRPr="003B1999">
              <w:rPr>
                <w:i/>
                <w:iCs/>
              </w:rPr>
              <w:t>62</w:t>
            </w:r>
            <w:r w:rsidR="00B0404C" w:rsidRPr="003B1999">
              <w:rPr>
                <w:i/>
                <w:iCs/>
              </w:rPr>
              <w:t xml:space="preserve"> mil.</w:t>
            </w:r>
          </w:p>
        </w:tc>
      </w:tr>
    </w:tbl>
    <w:p w14:paraId="441A70E7" w14:textId="0130CC6C" w:rsidR="005C0ECC" w:rsidRDefault="00A558E1" w:rsidP="00E9155F">
      <w:pPr>
        <w:spacing w:before="320"/>
      </w:pPr>
      <w:r>
        <w:t xml:space="preserve">Forma a rozsah </w:t>
      </w:r>
      <w:r w:rsidR="00E9155F">
        <w:t xml:space="preserve">navrhovaného zpoplatnění povolení k vjezdu do vybraných míst hl. m. Prahy </w:t>
      </w:r>
      <w:r w:rsidR="00E9075B">
        <w:t xml:space="preserve">jsou </w:t>
      </w:r>
      <w:r w:rsidR="00E9155F">
        <w:t>však s výše uvedenými případy obcí a měst jen obtížně srovnatelné</w:t>
      </w:r>
      <w:r w:rsidR="004109F0">
        <w:t>.</w:t>
      </w:r>
      <w:r w:rsidR="001A42F4">
        <w:t xml:space="preserve"> Karlovy Vary zpoplatňují povolení k vjezdu do poměrně rozsáhlého a atraktivního lázeňského území. </w:t>
      </w:r>
      <w:r w:rsidR="00105BFB">
        <w:t xml:space="preserve">Naopak v Pardubicích </w:t>
      </w:r>
      <w:r w:rsidR="00F72F74">
        <w:t>podléhá poplatku za po</w:t>
      </w:r>
      <w:r w:rsidR="00D45ED7">
        <w:t xml:space="preserve">volení k vjezdu </w:t>
      </w:r>
      <w:r w:rsidR="00E64648">
        <w:t xml:space="preserve">převážně jen prakticky neprůjezdné historické jádro </w:t>
      </w:r>
      <w:r w:rsidR="00664D4E">
        <w:t>S</w:t>
      </w:r>
      <w:r w:rsidR="00E64648">
        <w:t xml:space="preserve">tarého </w:t>
      </w:r>
      <w:r w:rsidR="00664D4E">
        <w:t>M</w:t>
      </w:r>
      <w:r w:rsidR="00E64648">
        <w:t>ěsta</w:t>
      </w:r>
      <w:r w:rsidR="00B2776D">
        <w:t xml:space="preserve"> </w:t>
      </w:r>
      <w:r w:rsidR="001C3FE4">
        <w:t>a</w:t>
      </w:r>
      <w:r w:rsidR="00FB7E66">
        <w:t> </w:t>
      </w:r>
      <w:r w:rsidR="001C3FE4">
        <w:t xml:space="preserve">relativně nízká je </w:t>
      </w:r>
      <w:r w:rsidR="0047462C">
        <w:t xml:space="preserve">v Pardubicích </w:t>
      </w:r>
      <w:r w:rsidR="001C3FE4">
        <w:t xml:space="preserve">i </w:t>
      </w:r>
      <w:r w:rsidR="00B2776D">
        <w:t xml:space="preserve">základní sazba poplatku 30 Kč za </w:t>
      </w:r>
      <w:r w:rsidR="002F4160">
        <w:t>den a vozidlo do 3,5 t</w:t>
      </w:r>
      <w:r w:rsidR="00664D4E">
        <w:t>.</w:t>
      </w:r>
    </w:p>
    <w:p w14:paraId="6BF0F0DF" w14:textId="4265AA49" w:rsidR="0006410C" w:rsidRDefault="005C42AE" w:rsidP="00933781">
      <w:r>
        <w:t>V případě obcí</w:t>
      </w:r>
      <w:r w:rsidR="004D2B4D">
        <w:t xml:space="preserve">, které </w:t>
      </w:r>
      <w:r>
        <w:t xml:space="preserve">tento </w:t>
      </w:r>
      <w:r w:rsidR="004D2B4D">
        <w:t xml:space="preserve">poplatek zavedly, </w:t>
      </w:r>
      <w:r>
        <w:t xml:space="preserve">byl výnos významně </w:t>
      </w:r>
      <w:r w:rsidR="0052018C">
        <w:t xml:space="preserve">nižší než </w:t>
      </w:r>
      <w:r>
        <w:t xml:space="preserve">předem </w:t>
      </w:r>
      <w:r w:rsidR="0052018C">
        <w:t xml:space="preserve">očekávaný. Současně lze </w:t>
      </w:r>
      <w:r w:rsidR="00B21F18">
        <w:t>očekávat poměrně významné náklady související se zavedením a</w:t>
      </w:r>
      <w:r w:rsidR="00E179EA">
        <w:t> </w:t>
      </w:r>
      <w:r w:rsidR="00B21F18">
        <w:t>správou systému, jakož i</w:t>
      </w:r>
      <w:r w:rsidR="00011543">
        <w:t xml:space="preserve"> s administrativou </w:t>
      </w:r>
      <w:r w:rsidR="000A1C14">
        <w:t xml:space="preserve">při </w:t>
      </w:r>
      <w:r w:rsidR="00011543">
        <w:t>vydávání povolení poplatníkům</w:t>
      </w:r>
      <w:r w:rsidR="007B430D">
        <w:t xml:space="preserve">, a to zejm. těm </w:t>
      </w:r>
      <w:r w:rsidR="00011543">
        <w:t xml:space="preserve">osvobozeným </w:t>
      </w:r>
      <w:r w:rsidR="00CE0375">
        <w:t>od poplatku.</w:t>
      </w:r>
      <w:r w:rsidR="005412B9">
        <w:t xml:space="preserve"> S</w:t>
      </w:r>
      <w:r w:rsidR="000A03BA">
        <w:t> </w:t>
      </w:r>
      <w:r w:rsidR="005412B9">
        <w:t>ohledem</w:t>
      </w:r>
      <w:r w:rsidR="000A03BA">
        <w:t xml:space="preserve"> </w:t>
      </w:r>
      <w:r w:rsidR="005412B9">
        <w:t xml:space="preserve">na výše uvedené </w:t>
      </w:r>
      <w:r w:rsidR="00821E36">
        <w:t xml:space="preserve">lze dopad do rozpočtu </w:t>
      </w:r>
      <w:r w:rsidR="006C58E5">
        <w:t xml:space="preserve">městské části Praha 1 v nižších </w:t>
      </w:r>
      <w:r w:rsidR="006B46D3">
        <w:t xml:space="preserve">jednotkách mil. </w:t>
      </w:r>
      <w:r w:rsidR="006C58E5">
        <w:t>Kč</w:t>
      </w:r>
      <w:r w:rsidR="00F91B68">
        <w:t xml:space="preserve"> ročně</w:t>
      </w:r>
      <w:r w:rsidR="00821E36">
        <w:t>.</w:t>
      </w:r>
    </w:p>
    <w:p w14:paraId="4517AE5C" w14:textId="07A20B63" w:rsidR="00830571" w:rsidRDefault="00D344A2" w:rsidP="00830571">
      <w:r>
        <w:t>V souvislosti se zavedením systému předpokládáme n</w:t>
      </w:r>
      <w:r w:rsidR="00830571">
        <w:t xml:space="preserve">a straně </w:t>
      </w:r>
      <w:r w:rsidR="00EB3226">
        <w:t>hl. m. Prahy</w:t>
      </w:r>
      <w:r w:rsidR="00D83C49">
        <w:t xml:space="preserve">, resp. jím zřizovaných organizací </w:t>
      </w:r>
      <w:r w:rsidR="00A57397">
        <w:t xml:space="preserve">postupné </w:t>
      </w:r>
      <w:r w:rsidR="00D83C49">
        <w:t xml:space="preserve">náklady </w:t>
      </w:r>
      <w:r w:rsidR="006C46B1">
        <w:t xml:space="preserve">související </w:t>
      </w:r>
      <w:r w:rsidR="00D83C49">
        <w:t>s</w:t>
      </w:r>
      <w:r w:rsidR="006C46B1">
        <w:t xml:space="preserve"> </w:t>
      </w:r>
      <w:r w:rsidR="00830571">
        <w:t>instalac</w:t>
      </w:r>
      <w:r w:rsidR="006C46B1">
        <w:t>í</w:t>
      </w:r>
      <w:r w:rsidR="00830571">
        <w:t xml:space="preserve"> kamer a dopravní</w:t>
      </w:r>
      <w:r w:rsidR="006C46B1">
        <w:t>ho značení</w:t>
      </w:r>
      <w:r w:rsidR="00830571">
        <w:t>, přizpůsobení informačního systému pro vydávání povolení k</w:t>
      </w:r>
      <w:r w:rsidR="006C46B1">
        <w:t> </w:t>
      </w:r>
      <w:r w:rsidR="00830571">
        <w:t>vjezdu</w:t>
      </w:r>
      <w:r w:rsidR="006C46B1">
        <w:t xml:space="preserve"> a výběru místního poplatku</w:t>
      </w:r>
      <w:r w:rsidR="00ED3406">
        <w:t xml:space="preserve"> následovně:</w:t>
      </w:r>
    </w:p>
    <w:p w14:paraId="16AF1A04" w14:textId="2BE5304B" w:rsidR="00E94883" w:rsidRDefault="00E94883" w:rsidP="00C05B65">
      <w:pPr>
        <w:pStyle w:val="Bezmezer"/>
        <w:tabs>
          <w:tab w:val="left" w:leader="dot" w:pos="5387"/>
        </w:tabs>
      </w:pPr>
      <w:r>
        <w:t>hl. m. Praha</w:t>
      </w:r>
      <w:r w:rsidR="00B52FE5">
        <w:t>:</w:t>
      </w:r>
      <w:r w:rsidR="00B52FE5">
        <w:tab/>
      </w:r>
      <w:r w:rsidR="00B52FE5" w:rsidRPr="00B52FE5">
        <w:rPr>
          <w:highlight w:val="yellow"/>
        </w:rPr>
        <w:t>[</w:t>
      </w:r>
      <w:r w:rsidR="00B52FE5" w:rsidRPr="00B52FE5">
        <w:rPr>
          <w:rFonts w:cstheme="minorHAnsi"/>
          <w:highlight w:val="yellow"/>
        </w:rPr>
        <w:t>•</w:t>
      </w:r>
      <w:r w:rsidR="00B52FE5" w:rsidRPr="00B52FE5">
        <w:rPr>
          <w:highlight w:val="yellow"/>
        </w:rPr>
        <w:t>]</w:t>
      </w:r>
      <w:r w:rsidR="00B52FE5">
        <w:t xml:space="preserve"> Kč</w:t>
      </w:r>
    </w:p>
    <w:p w14:paraId="5F95B037" w14:textId="7E28D104" w:rsidR="00A16C1D" w:rsidRDefault="00D344A2" w:rsidP="00C05B65">
      <w:pPr>
        <w:pStyle w:val="Bezmezer"/>
        <w:tabs>
          <w:tab w:val="left" w:leader="dot" w:pos="5387"/>
        </w:tabs>
      </w:pPr>
      <w:r w:rsidRPr="00D344A2">
        <w:t>Technická správa komunikací hl. m. Prahy, a.s.</w:t>
      </w:r>
      <w:r w:rsidR="00B52FE5">
        <w:tab/>
      </w:r>
      <w:r w:rsidR="00B52FE5" w:rsidRPr="00B52FE5">
        <w:rPr>
          <w:highlight w:val="yellow"/>
        </w:rPr>
        <w:t>[</w:t>
      </w:r>
      <w:r w:rsidR="00B52FE5" w:rsidRPr="00B52FE5">
        <w:rPr>
          <w:rFonts w:cstheme="minorHAnsi"/>
          <w:highlight w:val="yellow"/>
        </w:rPr>
        <w:t>•</w:t>
      </w:r>
      <w:r w:rsidR="00B52FE5" w:rsidRPr="00B52FE5">
        <w:rPr>
          <w:highlight w:val="yellow"/>
        </w:rPr>
        <w:t>]</w:t>
      </w:r>
      <w:r w:rsidR="00B52FE5">
        <w:t xml:space="preserve"> Kč</w:t>
      </w:r>
    </w:p>
    <w:p w14:paraId="6A75CBDF" w14:textId="0BED0480" w:rsidR="000F34ED" w:rsidRDefault="00A16C1D" w:rsidP="00C05B65">
      <w:pPr>
        <w:pStyle w:val="Bezmezer"/>
        <w:tabs>
          <w:tab w:val="left" w:leader="dot" w:pos="5387"/>
        </w:tabs>
        <w:spacing w:after="320"/>
      </w:pPr>
      <w:r w:rsidRPr="00A16C1D">
        <w:t>Operátor ICT, a.s.</w:t>
      </w:r>
      <w:r w:rsidR="00B52FE5">
        <w:tab/>
      </w:r>
      <w:r w:rsidR="00B52FE5" w:rsidRPr="00B52FE5">
        <w:rPr>
          <w:highlight w:val="yellow"/>
        </w:rPr>
        <w:t>[</w:t>
      </w:r>
      <w:r w:rsidR="00B52FE5" w:rsidRPr="00B52FE5">
        <w:rPr>
          <w:rFonts w:cstheme="minorHAnsi"/>
          <w:highlight w:val="yellow"/>
        </w:rPr>
        <w:t>•</w:t>
      </w:r>
      <w:r w:rsidR="00B52FE5" w:rsidRPr="00B52FE5">
        <w:rPr>
          <w:highlight w:val="yellow"/>
        </w:rPr>
        <w:t>]</w:t>
      </w:r>
      <w:r w:rsidR="00B52FE5">
        <w:t xml:space="preserve"> Kč</w:t>
      </w:r>
    </w:p>
    <w:p w14:paraId="59D4FBE4" w14:textId="3E6D389D" w:rsidR="00B52FE5" w:rsidRDefault="00BB0C3C" w:rsidP="00BB0C3C">
      <w:pPr>
        <w:pStyle w:val="Nadpis1"/>
      </w:pPr>
      <w:r>
        <w:t>Zvláštní část</w:t>
      </w:r>
    </w:p>
    <w:p w14:paraId="0A3116BF" w14:textId="25A5E543" w:rsidR="00192C4B" w:rsidRDefault="000E59E1" w:rsidP="000E59E1">
      <w:pPr>
        <w:pStyle w:val="Nadpis2"/>
      </w:pPr>
      <w:r>
        <w:t>K</w:t>
      </w:r>
      <w:r w:rsidR="004D28B6">
        <w:t xml:space="preserve"> </w:t>
      </w:r>
      <w:r w:rsidR="00192C4B">
        <w:t>§</w:t>
      </w:r>
      <w:r w:rsidR="004D28B6">
        <w:t xml:space="preserve"> 1 </w:t>
      </w:r>
      <w:r>
        <w:t xml:space="preserve">– </w:t>
      </w:r>
      <w:r w:rsidR="004D28B6">
        <w:t>Úvodní ustanovení</w:t>
      </w:r>
    </w:p>
    <w:p w14:paraId="38ABDA77" w14:textId="57EE3AB6" w:rsidR="00F51921" w:rsidRPr="00F51921" w:rsidRDefault="00F51921" w:rsidP="00F51921">
      <w:r>
        <w:t xml:space="preserve">Odchylně od vzoru MV </w:t>
      </w:r>
      <w:r w:rsidR="00D30159">
        <w:t xml:space="preserve">není určena </w:t>
      </w:r>
      <w:r w:rsidR="00DF7807">
        <w:t>příslušnost správce poplatku v úvodním ustanovení</w:t>
      </w:r>
      <w:r w:rsidR="00D30159">
        <w:t xml:space="preserve">, </w:t>
      </w:r>
      <w:r w:rsidR="00DF7807">
        <w:t>ale</w:t>
      </w:r>
      <w:r w:rsidR="002152A3">
        <w:t> </w:t>
      </w:r>
      <w:r w:rsidR="00847F6A">
        <w:t>v samostatném ustanovení § 8</w:t>
      </w:r>
      <w:r w:rsidR="004965A8">
        <w:t>, a</w:t>
      </w:r>
      <w:r w:rsidR="00BC3D64">
        <w:t> </w:t>
      </w:r>
      <w:r w:rsidR="00DF7807">
        <w:t xml:space="preserve">to s ohledem na relativně vyšší složitost ustanovení zohledňujícího </w:t>
      </w:r>
      <w:r w:rsidR="004965A8">
        <w:t>členění hl. m. Prahy na městské části hl. m. Prahy</w:t>
      </w:r>
      <w:r w:rsidR="008C03AE">
        <w:t xml:space="preserve"> se samostatnými orgány.</w:t>
      </w:r>
    </w:p>
    <w:p w14:paraId="6F344257" w14:textId="2CBD4C63" w:rsidR="004D28B6" w:rsidRDefault="000E59E1" w:rsidP="000E59E1">
      <w:pPr>
        <w:pStyle w:val="Nadpis2"/>
      </w:pPr>
      <w:r>
        <w:t xml:space="preserve">K </w:t>
      </w:r>
      <w:r w:rsidR="007C0B34">
        <w:t>§ 2</w:t>
      </w:r>
      <w:r>
        <w:t xml:space="preserve"> – </w:t>
      </w:r>
      <w:r w:rsidR="007C0B34">
        <w:t>Předmět poplatku a poplatník</w:t>
      </w:r>
    </w:p>
    <w:p w14:paraId="0F335C88" w14:textId="1D61DF82" w:rsidR="00B6052F" w:rsidRDefault="00D30159" w:rsidP="00525427">
      <w:r>
        <w:t>Ustanovení § 2</w:t>
      </w:r>
      <w:r w:rsidR="00525427">
        <w:t xml:space="preserve"> plně odpovídá vzoru MV.</w:t>
      </w:r>
      <w:r w:rsidR="006E156D">
        <w:t xml:space="preserve"> Je třeba zdůraznit, že zpopla</w:t>
      </w:r>
      <w:r w:rsidR="00030930">
        <w:t>tněn není samotný vjezd do</w:t>
      </w:r>
      <w:r w:rsidR="002152A3">
        <w:t> </w:t>
      </w:r>
      <w:r w:rsidR="00030930">
        <w:t xml:space="preserve">vybraných míst, ale vydání povolení do vybraných míst, </w:t>
      </w:r>
      <w:r w:rsidR="00316B41" w:rsidRPr="00316B41">
        <w:t xml:space="preserve">do vybraných míst, do kterých je jinak vjezd </w:t>
      </w:r>
      <w:r w:rsidR="00316B41" w:rsidRPr="00316B41">
        <w:lastRenderedPageBreak/>
        <w:t>zakázán příslušnou dopravní značkou</w:t>
      </w:r>
      <w:r w:rsidR="00316B41">
        <w:t xml:space="preserve"> (§ 10 odst. 2 zákona o místních poplatcích).</w:t>
      </w:r>
      <w:r w:rsidR="00B515A7">
        <w:t xml:space="preserve"> </w:t>
      </w:r>
      <w:r w:rsidR="00B6052F">
        <w:t>Vydání povolení bude upraveno vydaným opatřením obecné povahy.</w:t>
      </w:r>
    </w:p>
    <w:p w14:paraId="2B27864D" w14:textId="7207CDF9" w:rsidR="00316B41" w:rsidRDefault="00587B69" w:rsidP="00525427">
      <w:r>
        <w:t>„</w:t>
      </w:r>
      <w:r w:rsidRPr="00587B69">
        <w:rPr>
          <w:i/>
          <w:iCs/>
        </w:rPr>
        <w:t>Poplatník si prostřednictvím místního poplatku za vydání povolení k vjezdu s motorovým vozidlem do vybraných míst a částí města fakticky kupuje možnost obejít zákazovou značku a s motorovým vozidlem vjet tam, kam to ostatní, kteří povolení neobdrželi, mají zakázáno (Radvan, 2012, s. 99).“</w:t>
      </w:r>
      <w:r w:rsidR="00E43FA5">
        <w:t xml:space="preserve"> (</w:t>
      </w:r>
      <w:r w:rsidR="00FA6EC8">
        <w:t>komentář k §</w:t>
      </w:r>
      <w:r w:rsidR="002152A3">
        <w:t> </w:t>
      </w:r>
      <w:r w:rsidR="00FA6EC8">
        <w:t xml:space="preserve">10 odst. 2 a 3 zákona o místních poplatcích In </w:t>
      </w:r>
      <w:r w:rsidR="00083C03" w:rsidRPr="00083C03">
        <w:t xml:space="preserve">TĚŽKÝ, Václav, Michal JANTOŠ a Kamil SIUDA. Zákon o místních poplatcích: komentář. Praha: </w:t>
      </w:r>
      <w:proofErr w:type="spellStart"/>
      <w:r w:rsidR="00083C03" w:rsidRPr="00083C03">
        <w:t>Wolters</w:t>
      </w:r>
      <w:proofErr w:type="spellEnd"/>
      <w:r w:rsidR="00083C03" w:rsidRPr="00083C03">
        <w:t xml:space="preserve"> </w:t>
      </w:r>
      <w:proofErr w:type="spellStart"/>
      <w:r w:rsidR="00083C03" w:rsidRPr="00083C03">
        <w:t>Kluwer</w:t>
      </w:r>
      <w:proofErr w:type="spellEnd"/>
      <w:r w:rsidR="00083C03" w:rsidRPr="00083C03">
        <w:t>, 2016. ISBN 978-80-7552-453-9</w:t>
      </w:r>
      <w:r w:rsidR="00E43FA5">
        <w:t>)</w:t>
      </w:r>
    </w:p>
    <w:p w14:paraId="544C31E4" w14:textId="20231BA7" w:rsidR="00122ECC" w:rsidRPr="00BE00D5" w:rsidRDefault="00BE00D5" w:rsidP="00BE00D5">
      <w:pPr>
        <w:rPr>
          <w:i/>
          <w:iCs/>
        </w:rPr>
      </w:pPr>
      <w:r>
        <w:t xml:space="preserve">Podle stanoviska Ministerstva financí </w:t>
      </w:r>
      <w:r w:rsidRPr="00BE00D5">
        <w:rPr>
          <w:i/>
          <w:iCs/>
        </w:rPr>
        <w:t xml:space="preserve">„Zákon o místních poplatcích blíže nespecifikuje, co je míněno </w:t>
      </w:r>
      <w:r>
        <w:rPr>
          <w:rFonts w:cstheme="minorHAnsi"/>
          <w:i/>
          <w:iCs/>
        </w:rPr>
        <w:t>‚</w:t>
      </w:r>
      <w:r w:rsidRPr="00BE00D5">
        <w:rPr>
          <w:i/>
          <w:iCs/>
        </w:rPr>
        <w:t>vydáním povolení</w:t>
      </w:r>
      <w:r>
        <w:rPr>
          <w:rFonts w:cstheme="minorHAnsi"/>
          <w:i/>
          <w:iCs/>
        </w:rPr>
        <w:t>‘</w:t>
      </w:r>
      <w:r w:rsidRPr="00BE00D5">
        <w:rPr>
          <w:i/>
          <w:iCs/>
        </w:rPr>
        <w:t>. Může jít o formální rozhodnutí, které poplatník při plnění ohlašovací povinnosti předloží správci poplatku, nebo o technické zařízení, pomocí něhož bude na zvolenou dobu povolení automatizovaně vydáno“</w:t>
      </w:r>
    </w:p>
    <w:p w14:paraId="5E02961E" w14:textId="38B183DF" w:rsidR="00272E9B" w:rsidRDefault="000E59E1" w:rsidP="000E59E1">
      <w:pPr>
        <w:pStyle w:val="Nadpis2"/>
      </w:pPr>
      <w:r>
        <w:t xml:space="preserve">K </w:t>
      </w:r>
      <w:r w:rsidR="00272E9B">
        <w:t>§ 3</w:t>
      </w:r>
      <w:r>
        <w:t xml:space="preserve"> – </w:t>
      </w:r>
      <w:r w:rsidR="00272E9B">
        <w:t>Vybraná místa</w:t>
      </w:r>
    </w:p>
    <w:p w14:paraId="62602DAF" w14:textId="12DA8200" w:rsidR="004D1F4D" w:rsidRPr="001636F5" w:rsidRDefault="004D1F4D" w:rsidP="009D7849">
      <w:r w:rsidRPr="001636F5">
        <w:t>S cílem zklidnění dopravy v centrální oblasti hl. m. Prahy byla nad rámec dos</w:t>
      </w:r>
      <w:r w:rsidR="00555D6E" w:rsidRPr="001636F5">
        <w:t xml:space="preserve">ud zřízených pěších zón </w:t>
      </w:r>
      <w:r w:rsidRPr="001636F5">
        <w:t xml:space="preserve">vybrána </w:t>
      </w:r>
      <w:r w:rsidR="00555D6E" w:rsidRPr="001636F5">
        <w:t>historicky cenná a památkově a ur</w:t>
      </w:r>
      <w:r w:rsidR="00EF2F52" w:rsidRPr="001636F5">
        <w:t xml:space="preserve">banisticky významná místa při obou březích Vltavy na Starém </w:t>
      </w:r>
      <w:r w:rsidR="003C5A65" w:rsidRPr="001636F5">
        <w:t>M</w:t>
      </w:r>
      <w:r w:rsidR="00EF2F52" w:rsidRPr="001636F5">
        <w:t>ěstě a Malé Straně</w:t>
      </w:r>
      <w:r w:rsidR="003C5A65" w:rsidRPr="001636F5">
        <w:t xml:space="preserve"> na území městské části Praha 1.</w:t>
      </w:r>
    </w:p>
    <w:p w14:paraId="72BAE21E" w14:textId="4B59FBE3" w:rsidR="009D7849" w:rsidRPr="001636F5" w:rsidRDefault="00135BAC" w:rsidP="009D7849">
      <w:r w:rsidRPr="001636F5">
        <w:t xml:space="preserve">Vybrané místo A – oblast části </w:t>
      </w:r>
      <w:r w:rsidR="009D7849" w:rsidRPr="001636F5">
        <w:t>Malé Strany vymezená ulicemi Karmelitská (úsek Tržiště – Harantova), Prokopská, Maltézské náměstí, Lázeňská, Velkopřevorské náměstí, Harantova, Pelclova, Nebovidská, Nosticova, Hellichova, Újezd (úsek Hellichova – Vítězná), Všehrdova (mimo úseku Říční – Vítězná), U lanové dráhy, Říční, Besední a Šeříková (úsek Říční – Vítězná);</w:t>
      </w:r>
    </w:p>
    <w:p w14:paraId="39EC0D52" w14:textId="2DBEFB7C" w:rsidR="007B4D55" w:rsidRDefault="00135BAC" w:rsidP="009D7849">
      <w:r w:rsidRPr="001636F5">
        <w:t xml:space="preserve">Vybrané místo B </w:t>
      </w:r>
      <w:r w:rsidR="005523DD" w:rsidRPr="001636F5">
        <w:t>–</w:t>
      </w:r>
      <w:r w:rsidRPr="001636F5">
        <w:t xml:space="preserve"> </w:t>
      </w:r>
      <w:r w:rsidR="009D7849" w:rsidRPr="001636F5">
        <w:t xml:space="preserve">oblast Smetanova nábřeží </w:t>
      </w:r>
      <w:r w:rsidRPr="001636F5">
        <w:t xml:space="preserve">a přilehlého okolí </w:t>
      </w:r>
      <w:r w:rsidR="009D7849" w:rsidRPr="001636F5">
        <w:t>vymezená ulicemi Křižovnická (úsek Smetanovo nábřeží – Platnéřská), Karlova (úsek Smetanovo nábřeží – Liliová), Smetanovo nábřeží, Anenská, Anenské náměstí, Na zábradlí, Karoliny Světlé (úsek Náprstkova – Smetanovo nábřeží), Divadelní (úsek Betlémská – Konviktská) a Betlémská (úsek Divadelní – Smetanovo nábřeží).</w:t>
      </w:r>
    </w:p>
    <w:p w14:paraId="4E8EE661" w14:textId="690EF62D" w:rsidR="001636F5" w:rsidRDefault="001636F5" w:rsidP="001636F5">
      <w:pPr>
        <w:spacing w:before="120" w:after="120"/>
        <w:rPr>
          <w:rFonts w:asciiTheme="majorHAnsi" w:hAnsiTheme="majorHAnsi" w:cstheme="majorHAnsi"/>
          <w:szCs w:val="20"/>
        </w:rPr>
      </w:pPr>
      <w:r>
        <w:rPr>
          <w:rFonts w:asciiTheme="majorHAnsi" w:hAnsiTheme="majorHAnsi" w:cstheme="majorHAnsi"/>
          <w:szCs w:val="20"/>
        </w:rPr>
        <w:t xml:space="preserve">Vybrané místo A tvoří jádro historické Malé strany, a proto je lokalitou s vysokým historickým, kulturním a urbanistickým významem. Tato oblast přímo navazuje ze severu na Malostranské náměstí, Karlův most a širší oblast Pražského hradu, a přirozeně proto </w:t>
      </w:r>
      <w:proofErr w:type="gramStart"/>
      <w:r>
        <w:rPr>
          <w:rFonts w:asciiTheme="majorHAnsi" w:hAnsiTheme="majorHAnsi" w:cstheme="majorHAnsi"/>
          <w:szCs w:val="20"/>
        </w:rPr>
        <w:t>tvoří</w:t>
      </w:r>
      <w:proofErr w:type="gramEnd"/>
      <w:r>
        <w:rPr>
          <w:rFonts w:asciiTheme="majorHAnsi" w:hAnsiTheme="majorHAnsi" w:cstheme="majorHAnsi"/>
          <w:szCs w:val="20"/>
        </w:rPr>
        <w:t xml:space="preserve"> rovněž lokalitu s vysokou koncentrací chodců (turistů a dalších návštěvníků).</w:t>
      </w:r>
      <w:r w:rsidR="00C40834">
        <w:rPr>
          <w:rFonts w:asciiTheme="majorHAnsi" w:hAnsiTheme="majorHAnsi" w:cstheme="majorHAnsi"/>
          <w:szCs w:val="20"/>
        </w:rPr>
        <w:t xml:space="preserve"> </w:t>
      </w:r>
      <w:r w:rsidR="00C40834" w:rsidRPr="00C40834">
        <w:rPr>
          <w:rFonts w:asciiTheme="majorHAnsi" w:hAnsiTheme="majorHAnsi" w:cstheme="majorHAnsi"/>
          <w:szCs w:val="20"/>
        </w:rPr>
        <w:t xml:space="preserve">Severní část Malé strany je z vybraného místa záměrně vyřazena i kvůli potřebě volného příjezdu k Nemocnici Milosrdných sester sv. Karla </w:t>
      </w:r>
      <w:proofErr w:type="spellStart"/>
      <w:r w:rsidR="00C40834" w:rsidRPr="00C40834">
        <w:rPr>
          <w:rFonts w:asciiTheme="majorHAnsi" w:hAnsiTheme="majorHAnsi" w:cstheme="majorHAnsi"/>
          <w:szCs w:val="20"/>
        </w:rPr>
        <w:t>Boromejského</w:t>
      </w:r>
      <w:proofErr w:type="spellEnd"/>
      <w:r w:rsidR="00C40834" w:rsidRPr="00C40834">
        <w:rPr>
          <w:rFonts w:asciiTheme="majorHAnsi" w:hAnsiTheme="majorHAnsi" w:cstheme="majorHAnsi"/>
          <w:szCs w:val="20"/>
        </w:rPr>
        <w:t xml:space="preserve"> v Praze přes ulici Tržiště. Zahrnutí ulice Tržiště a oblasti severně od ní by </w:t>
      </w:r>
      <w:r w:rsidR="00733649">
        <w:rPr>
          <w:rFonts w:asciiTheme="majorHAnsi" w:hAnsiTheme="majorHAnsi" w:cstheme="majorHAnsi"/>
          <w:szCs w:val="20"/>
        </w:rPr>
        <w:t xml:space="preserve">vyžadovalo </w:t>
      </w:r>
      <w:r w:rsidR="00C40834" w:rsidRPr="00C40834">
        <w:rPr>
          <w:rFonts w:asciiTheme="majorHAnsi" w:hAnsiTheme="majorHAnsi" w:cstheme="majorHAnsi"/>
          <w:szCs w:val="20"/>
        </w:rPr>
        <w:t>vytvořit systém výjimek pro pacienty nemocnice, což by bylo extrémně administrativně náročné.</w:t>
      </w:r>
    </w:p>
    <w:p w14:paraId="12C299B1" w14:textId="30136EEF" w:rsidR="001636F5" w:rsidRDefault="001636F5" w:rsidP="001636F5">
      <w:pPr>
        <w:rPr>
          <w:rFonts w:asciiTheme="majorHAnsi" w:hAnsiTheme="majorHAnsi" w:cstheme="majorHAnsi"/>
          <w:szCs w:val="20"/>
        </w:rPr>
      </w:pPr>
      <w:r>
        <w:rPr>
          <w:rFonts w:asciiTheme="majorHAnsi" w:hAnsiTheme="majorHAnsi" w:cstheme="majorHAnsi"/>
          <w:szCs w:val="20"/>
        </w:rPr>
        <w:t xml:space="preserve">Vybrané místo B je rovněž lokalitou s vysokým historickým, kulturním a urbanistickým významem. Ze severu navazuje na vyústění Karlova mostu a trasy (ulice) vedoucí ve směru na Staroměstské náměstí a z jihu naopak na křižovatku ulic Smetanovo nábřeží, Národní, Masarykovo nábřeží a most Legií, kde se nachází budova Národního divadla. Z této části Smetanova nábřeží je rovněž charakteristický výhled na panorama Hradčan. Z těchto důvodů se rovněž jedná o lokalitu s vysokou koncentrací chodců </w:t>
      </w:r>
      <w:r>
        <w:rPr>
          <w:rFonts w:asciiTheme="majorHAnsi" w:hAnsiTheme="majorHAnsi" w:cstheme="majorHAnsi"/>
          <w:szCs w:val="20"/>
        </w:rPr>
        <w:lastRenderedPageBreak/>
        <w:t>(turistů a dalších návštěvníků).</w:t>
      </w:r>
      <w:r w:rsidR="000462FD">
        <w:rPr>
          <w:rFonts w:asciiTheme="majorHAnsi" w:hAnsiTheme="majorHAnsi" w:cstheme="majorHAnsi"/>
          <w:szCs w:val="20"/>
        </w:rPr>
        <w:t xml:space="preserve"> </w:t>
      </w:r>
      <w:r w:rsidR="00A24AE2">
        <w:rPr>
          <w:rFonts w:asciiTheme="majorHAnsi" w:hAnsiTheme="majorHAnsi" w:cstheme="majorHAnsi"/>
          <w:szCs w:val="20"/>
        </w:rPr>
        <w:t>Dále naopak p</w:t>
      </w:r>
      <w:r w:rsidR="000462FD" w:rsidRPr="00733649">
        <w:rPr>
          <w:rFonts w:asciiTheme="majorHAnsi" w:hAnsiTheme="majorHAnsi" w:cstheme="majorHAnsi"/>
          <w:szCs w:val="20"/>
        </w:rPr>
        <w:t xml:space="preserve">ři pohledu z Hradčan je </w:t>
      </w:r>
      <w:r w:rsidR="000462FD">
        <w:rPr>
          <w:rFonts w:asciiTheme="majorHAnsi" w:hAnsiTheme="majorHAnsi" w:cstheme="majorHAnsi"/>
          <w:szCs w:val="20"/>
        </w:rPr>
        <w:t>neopomenutelnou</w:t>
      </w:r>
      <w:r w:rsidR="000462FD" w:rsidRPr="00733649">
        <w:rPr>
          <w:rFonts w:asciiTheme="majorHAnsi" w:hAnsiTheme="majorHAnsi" w:cstheme="majorHAnsi"/>
          <w:szCs w:val="20"/>
        </w:rPr>
        <w:t xml:space="preserve"> součástí výhledu právě Smetanovo nábřeží a dopravní situace na něm.</w:t>
      </w:r>
    </w:p>
    <w:p w14:paraId="337D1311" w14:textId="3337EA4D" w:rsidR="001636F5" w:rsidRDefault="001636F5" w:rsidP="001636F5">
      <w:pPr>
        <w:rPr>
          <w:rFonts w:asciiTheme="majorHAnsi" w:hAnsiTheme="majorHAnsi" w:cstheme="majorHAnsi"/>
          <w:szCs w:val="20"/>
        </w:rPr>
      </w:pPr>
      <w:r>
        <w:rPr>
          <w:rFonts w:asciiTheme="majorHAnsi" w:hAnsiTheme="majorHAnsi" w:cstheme="majorHAnsi"/>
          <w:szCs w:val="20"/>
        </w:rPr>
        <w:t>Pro další rozvoj těchto oblastí a podporu jejich urbanistických funkcí je klíčové snížení dopravní zátěže</w:t>
      </w:r>
      <w:r w:rsidR="00AD7CA1">
        <w:rPr>
          <w:rFonts w:asciiTheme="majorHAnsi" w:hAnsiTheme="majorHAnsi" w:cstheme="majorHAnsi"/>
          <w:szCs w:val="20"/>
        </w:rPr>
        <w:t> a celkové zklidnění dopravy</w:t>
      </w:r>
      <w:r>
        <w:rPr>
          <w:rFonts w:asciiTheme="majorHAnsi" w:hAnsiTheme="majorHAnsi" w:cstheme="majorHAnsi"/>
          <w:szCs w:val="20"/>
        </w:rPr>
        <w:t xml:space="preserve">, zejm. ve formě </w:t>
      </w:r>
      <w:r w:rsidR="00AD7CA1">
        <w:rPr>
          <w:rFonts w:asciiTheme="majorHAnsi" w:hAnsiTheme="majorHAnsi" w:cstheme="majorHAnsi"/>
          <w:szCs w:val="20"/>
        </w:rPr>
        <w:t xml:space="preserve">snížení podílu </w:t>
      </w:r>
      <w:r>
        <w:rPr>
          <w:rFonts w:asciiTheme="majorHAnsi" w:hAnsiTheme="majorHAnsi" w:cstheme="majorHAnsi"/>
          <w:szCs w:val="20"/>
        </w:rPr>
        <w:t>individuální automobilové dopravy. Od omezení vjezdu formou místního poplatku (tj. od cenové regulace) lze snížení dopravní zátěže očekávat.</w:t>
      </w:r>
      <w:r w:rsidRPr="00E348A8">
        <w:rPr>
          <w:rFonts w:asciiTheme="majorHAnsi" w:hAnsiTheme="majorHAnsi" w:cstheme="majorHAnsi"/>
          <w:szCs w:val="20"/>
        </w:rPr>
        <w:t xml:space="preserve"> </w:t>
      </w:r>
      <w:r>
        <w:rPr>
          <w:rFonts w:asciiTheme="majorHAnsi" w:hAnsiTheme="majorHAnsi" w:cstheme="majorHAnsi"/>
          <w:szCs w:val="20"/>
        </w:rPr>
        <w:t>V důsledku proto omezením dopravní zátěže (skrze snížení podílu individuální automobilové dopravy ve prospěch jiných modů dopravy) bude umožněn rozvoj dotčených oblastí a příslušného veřejného prostoru.</w:t>
      </w:r>
    </w:p>
    <w:p w14:paraId="060F5C39" w14:textId="179AC04D" w:rsidR="00B83680" w:rsidRDefault="00B83680" w:rsidP="00B83680">
      <w:r>
        <w:t xml:space="preserve">Snížení dopravní zátěže v oblasti Smetanova nábřeží a přilehlého okolí rovněž umožní realizovat rozvoj městské hromadné dopravy a jejích zastávek (zejm. zastávek Staroměstská, Karlovy lázně, Národní divadlo) – zejm. jejich rozšířením a přizpůsobením požadavkům bezbariérového přístupu, což povede k lepší dopravní obslužnosti v širší oblasti centra města a ke zvýšení bezpečnosti. Vzhledem k vysokému dopravnímu zatížení Smetanova nábřeží nebylo doposud možno takový rozvoj uskutečnit. </w:t>
      </w:r>
    </w:p>
    <w:p w14:paraId="6589FB50" w14:textId="26D4CFC0" w:rsidR="000C0414" w:rsidRDefault="000E59E1" w:rsidP="000E59E1">
      <w:pPr>
        <w:pStyle w:val="Nadpis2"/>
      </w:pPr>
      <w:r>
        <w:t xml:space="preserve">K </w:t>
      </w:r>
      <w:r w:rsidR="000C0414">
        <w:t>§ 4</w:t>
      </w:r>
      <w:r>
        <w:t xml:space="preserve"> – </w:t>
      </w:r>
      <w:r w:rsidR="000C0414">
        <w:t>Ohlašovací povinnost</w:t>
      </w:r>
    </w:p>
    <w:p w14:paraId="7DDCC78F" w14:textId="05A74657" w:rsidR="007B22CE" w:rsidRDefault="001D19BE" w:rsidP="007B22CE">
      <w:r>
        <w:t xml:space="preserve">Většina poplatníků </w:t>
      </w:r>
      <w:r w:rsidR="00566D3B">
        <w:t xml:space="preserve">není </w:t>
      </w:r>
      <w:r w:rsidR="00BF5BF2">
        <w:t>povinna podat ohlášení</w:t>
      </w:r>
      <w:r w:rsidR="00566D3B">
        <w:t xml:space="preserve">, tato jejich povinnost je vyloučena ve smyslu </w:t>
      </w:r>
      <w:r w:rsidR="00794A68">
        <w:t>§ 14 odst. 3 písm. c)</w:t>
      </w:r>
      <w:r w:rsidR="0010448A">
        <w:t xml:space="preserve"> </w:t>
      </w:r>
      <w:r w:rsidR="00566D3B">
        <w:t>zákona o místních poplatcích.</w:t>
      </w:r>
      <w:r w:rsidR="00EB5186">
        <w:t xml:space="preserve"> </w:t>
      </w:r>
      <w:r w:rsidR="002C1887">
        <w:t>Jedná se o poplatníky</w:t>
      </w:r>
      <w:r w:rsidR="001C30E7">
        <w:t xml:space="preserve">, kterým poplatková povinnost svědčí v plné </w:t>
      </w:r>
      <w:r w:rsidR="00932282">
        <w:t xml:space="preserve">sazbě </w:t>
      </w:r>
      <w:r w:rsidR="00CC5C72">
        <w:t xml:space="preserve">a kteří poplatek zaplatí </w:t>
      </w:r>
      <w:r w:rsidR="008B006C">
        <w:t>v souladu s touto vyhláškou</w:t>
      </w:r>
      <w:r w:rsidR="00740658">
        <w:t>.</w:t>
      </w:r>
      <w:r w:rsidR="007B22CE" w:rsidRPr="007B22CE">
        <w:rPr>
          <w:i/>
          <w:iCs/>
        </w:rPr>
        <w:t xml:space="preserve"> </w:t>
      </w:r>
      <w:r w:rsidR="007B22CE">
        <w:t>Ustanovení se</w:t>
      </w:r>
      <w:r w:rsidR="00E859D8">
        <w:t xml:space="preserve"> inspiruje ustanovením obecně závazné vyhlášky některých lázeňských měst</w:t>
      </w:r>
      <w:r w:rsidR="00C50C32">
        <w:t xml:space="preserve">: </w:t>
      </w:r>
      <w:r w:rsidR="007B22CE" w:rsidRPr="00D2386E">
        <w:rPr>
          <w:i/>
          <w:iCs/>
        </w:rPr>
        <w:t>„Při vydání povolení k</w:t>
      </w:r>
      <w:r w:rsidR="00C50C32">
        <w:rPr>
          <w:i/>
          <w:iCs/>
        </w:rPr>
        <w:t> </w:t>
      </w:r>
      <w:r w:rsidR="007B22CE" w:rsidRPr="00D2386E">
        <w:rPr>
          <w:i/>
          <w:iCs/>
        </w:rPr>
        <w:t>jednorázovému vjezdu (na jeden den nebo jeho část) se splnění ohlašovací povinnosti nevyžaduje.“</w:t>
      </w:r>
      <w:r w:rsidR="007B22CE">
        <w:t xml:space="preserve"> (obecně závazná vyhláška města Františkovy Lázně č. </w:t>
      </w:r>
      <w:r w:rsidR="007B22CE" w:rsidRPr="003F5D70">
        <w:t>2/20</w:t>
      </w:r>
      <w:r w:rsidR="007B22CE">
        <w:t>2</w:t>
      </w:r>
      <w:r w:rsidR="007B22CE" w:rsidRPr="003F5D70">
        <w:t>3</w:t>
      </w:r>
      <w:r w:rsidR="007B22CE">
        <w:t>, o místním poplatku za povolení k vjezdu s motorovým vozidlem do vybraných míst a částí města)</w:t>
      </w:r>
    </w:p>
    <w:p w14:paraId="532A1EBC" w14:textId="652F0B93" w:rsidR="00816FEC" w:rsidRDefault="00016D7D" w:rsidP="004C1318">
      <w:r>
        <w:t>C</w:t>
      </w:r>
      <w:r w:rsidR="0009572B">
        <w:t xml:space="preserve">ílem </w:t>
      </w:r>
      <w:r w:rsidR="00AF03E9">
        <w:t xml:space="preserve">je umožnění plné elektronizace </w:t>
      </w:r>
      <w:r w:rsidR="002E4BED">
        <w:t>celého procesu vydá</w:t>
      </w:r>
      <w:r w:rsidR="00136342">
        <w:t>vá</w:t>
      </w:r>
      <w:r w:rsidR="002E4BED">
        <w:t>ní povolení k vjezdu a zaplacení poplatku skrze technick</w:t>
      </w:r>
      <w:r w:rsidR="00595317">
        <w:t>é</w:t>
      </w:r>
      <w:r w:rsidR="002E4BED">
        <w:t xml:space="preserve"> </w:t>
      </w:r>
      <w:r w:rsidR="00B00CAE">
        <w:t>zařízení</w:t>
      </w:r>
      <w:r w:rsidR="0056083E">
        <w:t xml:space="preserve"> (platební aplikaci)</w:t>
      </w:r>
      <w:r w:rsidR="00086736">
        <w:t xml:space="preserve">. Podle § </w:t>
      </w:r>
      <w:r w:rsidR="00794A68">
        <w:t>14a</w:t>
      </w:r>
      <w:r w:rsidR="0010448A">
        <w:t xml:space="preserve"> zákona o místních poplatcích, není-li tato povinnost vyloučena obecně závaznou vyhláškou, je poplatník povin</w:t>
      </w:r>
      <w:r w:rsidR="00A6272D">
        <w:t>en podat správci poplatku ohlášení</w:t>
      </w:r>
      <w:r w:rsidR="00781834">
        <w:t xml:space="preserve"> písemně </w:t>
      </w:r>
      <w:r w:rsidR="00E33F5B">
        <w:t xml:space="preserve">v listinné formě nebo (kvalifikované) elektronické formě (§ 71 </w:t>
      </w:r>
      <w:r w:rsidR="00E33F5B" w:rsidRPr="007977B6">
        <w:t>daňového řádu</w:t>
      </w:r>
      <w:r w:rsidR="00E33F5B">
        <w:t>)</w:t>
      </w:r>
      <w:r w:rsidR="001F67B1">
        <w:t>, anebo ústně do protokolu</w:t>
      </w:r>
      <w:r w:rsidR="00B00CAE">
        <w:t>. Žádná z těchto možností není realizovatelná prostřednictvím technického zařízení (platební aplikace).</w:t>
      </w:r>
      <w:r w:rsidR="00A11099">
        <w:t xml:space="preserve"> </w:t>
      </w:r>
      <w:r w:rsidR="00375B10">
        <w:t>El</w:t>
      </w:r>
      <w:r w:rsidR="00B27C1D">
        <w:t>e</w:t>
      </w:r>
      <w:r w:rsidR="004B5B5A">
        <w:t xml:space="preserve">ktronické podání lze vůči správci poplatku učinit prostřednictvím datové schránky, s uznávaným elektronickým podpisem nebo </w:t>
      </w:r>
      <w:r w:rsidR="00BF5EB8" w:rsidRPr="00BF5EB8">
        <w:t>s využitím přístupu se zaručenou identitou</w:t>
      </w:r>
      <w:r w:rsidR="00BF5EB8">
        <w:t xml:space="preserve"> (např. prostřednictvím Portálu)</w:t>
      </w:r>
      <w:r w:rsidR="004B5B5A">
        <w:t xml:space="preserve">. </w:t>
      </w:r>
      <w:r w:rsidR="00A11099">
        <w:t xml:space="preserve">Poplatník v něm </w:t>
      </w:r>
      <w:r w:rsidR="00A6272D">
        <w:t>uvede své identifikační údaje, čísla všech účtů</w:t>
      </w:r>
      <w:r w:rsidR="00446727">
        <w:t xml:space="preserve"> užívaných </w:t>
      </w:r>
      <w:r w:rsidR="00C94CB7">
        <w:t xml:space="preserve">v souvislosti s podnikatelskou činností, souvisí-li s ní předmět poplatku, údaje </w:t>
      </w:r>
      <w:r w:rsidR="0023056A">
        <w:t>rozhodné pro stanovení poplatku</w:t>
      </w:r>
      <w:r w:rsidR="004C1318">
        <w:t xml:space="preserve">, </w:t>
      </w:r>
      <w:r w:rsidR="001B0E14">
        <w:t>za které lze</w:t>
      </w:r>
      <w:r w:rsidR="0020400F">
        <w:t xml:space="preserve"> považovat </w:t>
      </w:r>
      <w:r w:rsidR="004C1318">
        <w:t>zejména počet a označení vozidel, na které je povolení k</w:t>
      </w:r>
      <w:r w:rsidR="0020400F">
        <w:t> </w:t>
      </w:r>
      <w:r w:rsidR="004C1318">
        <w:t>vjezdu vydáváno, dobu</w:t>
      </w:r>
      <w:r w:rsidR="00F40830">
        <w:t>,</w:t>
      </w:r>
      <w:r w:rsidR="004C1318">
        <w:t xml:space="preserve"> na kterou je povolení vydáváno, </w:t>
      </w:r>
      <w:r w:rsidR="009C09E7">
        <w:t>a to včetně údajů rozhodných pro osvobození nebo úlevu od poplatku.</w:t>
      </w:r>
      <w:r w:rsidR="0009572B">
        <w:t xml:space="preserve"> </w:t>
      </w:r>
      <w:r w:rsidR="00D005FE">
        <w:t>Poplatník ze státu</w:t>
      </w:r>
      <w:r w:rsidR="00450D96">
        <w:t xml:space="preserve"> mimo Evropskou unii, EHP nebo </w:t>
      </w:r>
      <w:r w:rsidR="00450D96" w:rsidRPr="00450D96">
        <w:t>Švýcarsko</w:t>
      </w:r>
      <w:r w:rsidR="00450D96">
        <w:t xml:space="preserve">u konfederaci musí uvést adresu </w:t>
      </w:r>
      <w:r w:rsidR="00C32919">
        <w:t xml:space="preserve">svého </w:t>
      </w:r>
      <w:r w:rsidR="00C32919" w:rsidRPr="00C32919">
        <w:t>zmocněnce v tuzemsku pro doručování</w:t>
      </w:r>
      <w:r w:rsidR="00C32919">
        <w:t>.</w:t>
      </w:r>
      <w:r w:rsidR="00587AEB">
        <w:t xml:space="preserve"> </w:t>
      </w:r>
      <w:r w:rsidR="00816FEC">
        <w:t>Poplatník musí uvést označení vozidel</w:t>
      </w:r>
      <w:r w:rsidR="00A02B11">
        <w:t xml:space="preserve"> </w:t>
      </w:r>
      <w:r w:rsidR="00816FEC">
        <w:t>a</w:t>
      </w:r>
      <w:r w:rsidR="00A02B11">
        <w:t xml:space="preserve"> žádanou </w:t>
      </w:r>
      <w:r w:rsidR="00816FEC">
        <w:t xml:space="preserve">dobu </w:t>
      </w:r>
      <w:r w:rsidR="00A02B11">
        <w:t xml:space="preserve">povolení uvést již v rámci žádosti o vydání povolení k vjezdu. </w:t>
      </w:r>
      <w:r w:rsidR="008E1144">
        <w:t>Ostatní údaje jsou důležité zejména pro po</w:t>
      </w:r>
      <w:r w:rsidR="00FC6B65">
        <w:t xml:space="preserve">souzení </w:t>
      </w:r>
      <w:r w:rsidR="0088536D">
        <w:t xml:space="preserve">ad-hoc </w:t>
      </w:r>
      <w:r w:rsidR="00FC6B65">
        <w:t xml:space="preserve">uplatněného nároku na osvobození, které nebude moci být přiznáno </w:t>
      </w:r>
      <w:r w:rsidR="0073186E">
        <w:t xml:space="preserve">bez formálně perfektního a </w:t>
      </w:r>
      <w:r w:rsidR="00930D90">
        <w:t>úplného ohlášení.</w:t>
      </w:r>
    </w:p>
    <w:p w14:paraId="1DC8B753" w14:textId="080096F6" w:rsidR="009B026D" w:rsidRDefault="00ED4C2D" w:rsidP="004C1318">
      <w:r>
        <w:lastRenderedPageBreak/>
        <w:t xml:space="preserve">Není však vyloučeno ani omezeno </w:t>
      </w:r>
      <w:r w:rsidR="009B026D">
        <w:t xml:space="preserve">vyřízení </w:t>
      </w:r>
      <w:r w:rsidR="00CF68F6">
        <w:t>povolení k vjezdu včetně úhrady poplatku za jeho vydání „</w:t>
      </w:r>
      <w:proofErr w:type="spellStart"/>
      <w:r w:rsidR="00CF68F6">
        <w:t>offline</w:t>
      </w:r>
      <w:proofErr w:type="spellEnd"/>
      <w:r w:rsidR="00CF68F6">
        <w:t>“</w:t>
      </w:r>
      <w:r w:rsidR="00905D7D">
        <w:t>, a to na základě žádosti o vydání povolení a úhrad</w:t>
      </w:r>
      <w:r w:rsidR="00937FB4">
        <w:t>y poplatku jakýmkoliv jiným zákonem přípustným způsobem, ať už osobně na úřadě nebo korespondenčně.</w:t>
      </w:r>
      <w:r w:rsidR="006C4BC5">
        <w:t xml:space="preserve"> </w:t>
      </w:r>
      <w:r w:rsidR="0079146C">
        <w:t xml:space="preserve">Pro tento účel </w:t>
      </w:r>
      <w:r w:rsidR="00DB50E7">
        <w:t>je možné (ale není</w:t>
      </w:r>
      <w:r w:rsidR="0089498A">
        <w:t xml:space="preserve"> to </w:t>
      </w:r>
      <w:r w:rsidR="00DB50E7">
        <w:t xml:space="preserve">nutné) využít </w:t>
      </w:r>
      <w:r w:rsidR="0079146C">
        <w:t>příslušn</w:t>
      </w:r>
      <w:r w:rsidR="00DB50E7">
        <w:t xml:space="preserve">ých </w:t>
      </w:r>
      <w:r w:rsidR="0079146C">
        <w:t>formulář</w:t>
      </w:r>
      <w:r w:rsidR="00DB50E7">
        <w:t xml:space="preserve">ů </w:t>
      </w:r>
      <w:r w:rsidR="0079146C">
        <w:t>žádosti a ohlášení.</w:t>
      </w:r>
    </w:p>
    <w:p w14:paraId="2CF2EEF5" w14:textId="44816ECC" w:rsidR="00653D5C" w:rsidRDefault="00B12CA3" w:rsidP="004C1318">
      <w:r>
        <w:t xml:space="preserve">Odstavec 2 stanovuje </w:t>
      </w:r>
      <w:r w:rsidR="00D83FFE" w:rsidRPr="00D83FFE">
        <w:t xml:space="preserve">lhůtu pro podání ohlášení </w:t>
      </w:r>
      <w:r w:rsidR="00D83FFE">
        <w:t xml:space="preserve">poplatníkům, kteří prokazují svůj nárok na osvobození nebo úlevu od poplatku, a to odchylně od vzoru MV tak, že </w:t>
      </w:r>
      <w:r w:rsidR="0079149F">
        <w:t xml:space="preserve">jsou povinni podat ohlášení </w:t>
      </w:r>
      <w:r w:rsidR="0079149F" w:rsidRPr="00F64E05">
        <w:t>při podání žádosti o</w:t>
      </w:r>
      <w:r w:rsidR="0079149F">
        <w:t> </w:t>
      </w:r>
      <w:r w:rsidR="0079149F" w:rsidRPr="00F64E05">
        <w:t>povolení k vjezdu</w:t>
      </w:r>
      <w:r w:rsidR="0079149F">
        <w:t>, nejpozději v den vjezdu.</w:t>
      </w:r>
      <w:r w:rsidR="00931693">
        <w:t xml:space="preserve"> Účelem této úpravy je, aby poplatník musel uplatnit, resp. ohlásit údaj </w:t>
      </w:r>
      <w:r w:rsidR="004D1FD1" w:rsidRPr="004D1FD1">
        <w:t>rozhodný pro osvobození nebo úlevu od poplatku</w:t>
      </w:r>
      <w:r w:rsidR="004D1FD1">
        <w:t xml:space="preserve"> dříve, než je mu povolení k vjezdu vydáno</w:t>
      </w:r>
      <w:r w:rsidR="00653D5C">
        <w:t xml:space="preserve"> nebo dříve, než do vybraného místa vjede, učiní-li tak bez předchozího povolení.</w:t>
      </w:r>
      <w:r w:rsidR="007B67C8">
        <w:t xml:space="preserve"> V případě, že tak neučiní, </w:t>
      </w:r>
      <w:r w:rsidR="00F26BAF">
        <w:t>n</w:t>
      </w:r>
      <w:r w:rsidR="00F26BAF" w:rsidRPr="00F26BAF">
        <w:t xml:space="preserve">árok na osvobození nebo úlevu </w:t>
      </w:r>
      <w:r w:rsidR="00F26BAF">
        <w:t xml:space="preserve">mu podle § 14a odst. 6 zákona o místních poplatcích zaniká, a </w:t>
      </w:r>
      <w:r w:rsidR="00576C42">
        <w:t xml:space="preserve">nemůže </w:t>
      </w:r>
      <w:r w:rsidR="00BB687C">
        <w:t xml:space="preserve">tak </w:t>
      </w:r>
      <w:r w:rsidR="00576C42">
        <w:t xml:space="preserve">např. </w:t>
      </w:r>
      <w:r w:rsidR="00DA2531">
        <w:t xml:space="preserve">úspěšně </w:t>
      </w:r>
      <w:r w:rsidR="00F26BAF">
        <w:t>žáda</w:t>
      </w:r>
      <w:r w:rsidR="00DA2531">
        <w:t>t o vrácení přeplatku.</w:t>
      </w:r>
    </w:p>
    <w:p w14:paraId="141EEED0" w14:textId="6D8963C0" w:rsidR="00A10503" w:rsidRDefault="00585BAA" w:rsidP="004C1318">
      <w:r>
        <w:t xml:space="preserve">Odstavec 3 neupravuje delší než </w:t>
      </w:r>
      <w:r w:rsidR="0014173C">
        <w:t xml:space="preserve">15denní </w:t>
      </w:r>
      <w:r>
        <w:t>zákonnou lhůtu (§ 14</w:t>
      </w:r>
      <w:r w:rsidR="00F475B2">
        <w:t>a odst. 4 zákona o místních poplatcích</w:t>
      </w:r>
      <w:r>
        <w:t>)</w:t>
      </w:r>
      <w:r w:rsidR="00F475B2">
        <w:t xml:space="preserve"> </w:t>
      </w:r>
      <w:r w:rsidR="00567266">
        <w:t>k</w:t>
      </w:r>
      <w:r w:rsidR="0014173C">
        <w:t xml:space="preserve"> oznámení</w:t>
      </w:r>
      <w:r w:rsidR="00567266">
        <w:t> </w:t>
      </w:r>
      <w:r w:rsidR="0014173C">
        <w:t>z</w:t>
      </w:r>
      <w:r w:rsidR="0014173C" w:rsidRPr="0014173C">
        <w:t>měně údajů uvedených v</w:t>
      </w:r>
      <w:r w:rsidR="0014173C">
        <w:t> </w:t>
      </w:r>
      <w:r w:rsidR="0014173C" w:rsidRPr="0014173C">
        <w:t>ohlášení</w:t>
      </w:r>
      <w:r w:rsidR="0014173C">
        <w:t>.</w:t>
      </w:r>
    </w:p>
    <w:p w14:paraId="4244681A" w14:textId="7EB7BEA1" w:rsidR="00712786" w:rsidRDefault="000E59E1" w:rsidP="000E59E1">
      <w:pPr>
        <w:pStyle w:val="Nadpis2"/>
      </w:pPr>
      <w:r>
        <w:t xml:space="preserve">K </w:t>
      </w:r>
      <w:r w:rsidR="00712786">
        <w:t>§ 5</w:t>
      </w:r>
      <w:r>
        <w:t xml:space="preserve"> – </w:t>
      </w:r>
      <w:r w:rsidR="00712786">
        <w:t>Sazba poplatku</w:t>
      </w:r>
    </w:p>
    <w:p w14:paraId="64141378" w14:textId="14BAB776" w:rsidR="00C4616B" w:rsidRPr="00C4616B" w:rsidRDefault="00CD477F" w:rsidP="00C4616B">
      <w:r>
        <w:t xml:space="preserve">Upravena </w:t>
      </w:r>
      <w:r w:rsidR="009D1F7C">
        <w:t xml:space="preserve">je nejvyšší zákonná sazba </w:t>
      </w:r>
      <w:r w:rsidR="009D1F7C" w:rsidRPr="00A759EE">
        <w:rPr>
          <w:rFonts w:ascii="Times New Roman" w:hAnsi="Times New Roman" w:cs="Times New Roman"/>
        </w:rPr>
        <w:t>200 Kč za každý započatý den.</w:t>
      </w:r>
      <w:r w:rsidR="009D1F7C">
        <w:rPr>
          <w:rFonts w:ascii="Times New Roman" w:hAnsi="Times New Roman" w:cs="Times New Roman"/>
        </w:rPr>
        <w:t xml:space="preserve"> </w:t>
      </w:r>
      <w:r w:rsidR="00243022">
        <w:rPr>
          <w:rFonts w:ascii="Times New Roman" w:hAnsi="Times New Roman" w:cs="Times New Roman"/>
        </w:rPr>
        <w:t>Paušální sazba poplatku</w:t>
      </w:r>
      <w:r w:rsidR="00970854">
        <w:rPr>
          <w:rFonts w:ascii="Times New Roman" w:hAnsi="Times New Roman" w:cs="Times New Roman"/>
        </w:rPr>
        <w:t xml:space="preserve"> </w:t>
      </w:r>
      <w:r w:rsidR="00243022">
        <w:rPr>
          <w:rFonts w:ascii="Times New Roman" w:hAnsi="Times New Roman" w:cs="Times New Roman"/>
        </w:rPr>
        <w:t>ani způsob její volby</w:t>
      </w:r>
      <w:r w:rsidR="00970854">
        <w:rPr>
          <w:rFonts w:ascii="Times New Roman" w:hAnsi="Times New Roman" w:cs="Times New Roman"/>
        </w:rPr>
        <w:t xml:space="preserve"> </w:t>
      </w:r>
      <w:r w:rsidR="00243022">
        <w:rPr>
          <w:rFonts w:ascii="Times New Roman" w:hAnsi="Times New Roman" w:cs="Times New Roman"/>
        </w:rPr>
        <w:t>nejsou stanoveny.</w:t>
      </w:r>
    </w:p>
    <w:p w14:paraId="04FD4B9D" w14:textId="28D823E4" w:rsidR="00AD4C20" w:rsidRDefault="00AD4C20" w:rsidP="00AD4C20">
      <w:pPr>
        <w:pStyle w:val="Nadpis2"/>
      </w:pPr>
      <w:r>
        <w:t>K § 6 – Splatnost poplatku a způsob placení</w:t>
      </w:r>
    </w:p>
    <w:p w14:paraId="07C83934" w14:textId="1BF0F228" w:rsidR="00F40830" w:rsidRDefault="00F40830" w:rsidP="00EB50DC">
      <w:r>
        <w:t xml:space="preserve">Ustanovení vychází ze způsobů placení daně dle § 163 daňového řádu. Navíc umožňuje platbu skrze platební aplikaci, což je nezbytné pro digitalizaci procesu vydávání povolení k vjezdu. U plateb skrze platební aplikaci je stanoven </w:t>
      </w:r>
      <w:r w:rsidR="001636F5">
        <w:t xml:space="preserve">den platby odchylně od § 166 daňového řádu, dle kterého se za den platby </w:t>
      </w:r>
      <w:r w:rsidR="001636F5" w:rsidRPr="001636F5">
        <w:t>u platby, která byla prováděna poskytovatelem platebních služeb</w:t>
      </w:r>
      <w:r w:rsidR="001636F5">
        <w:t xml:space="preserve">, považuje den připsání na účet správce daně. </w:t>
      </w:r>
      <w:r w:rsidR="00AD7CA1">
        <w:t>P</w:t>
      </w:r>
      <w:r w:rsidR="001636F5">
        <w:t xml:space="preserve">rozatím </w:t>
      </w:r>
      <w:r w:rsidR="00AD7CA1">
        <w:t xml:space="preserve">však nejsou </w:t>
      </w:r>
      <w:r w:rsidR="001636F5">
        <w:t xml:space="preserve">známy technické parametry platební aplikace a jí zajišťovaných platebních transakcí, a tedy nelze vyloučit, že k připsání platby zadané skrze platební aplikaci </w:t>
      </w:r>
      <w:r w:rsidR="00AD7CA1">
        <w:t xml:space="preserve">na účet správce daně dojde </w:t>
      </w:r>
      <w:r w:rsidR="001636F5">
        <w:t>se zpožděním</w:t>
      </w:r>
      <w:r w:rsidR="00AD7CA1">
        <w:t>. Proto</w:t>
      </w:r>
      <w:r w:rsidR="001636F5">
        <w:t xml:space="preserve"> je vhodné stanovit den platby odlišně</w:t>
      </w:r>
      <w:r w:rsidR="00AD7CA1">
        <w:t>, a to</w:t>
      </w:r>
      <w:r w:rsidR="001636F5">
        <w:t xml:space="preserve"> jako den, kdy platební příkaz přijal poskytovatel platebních služeb poplatníka (tj. kdy žadatel zadá platbu svému poskytovali platebních služeb, typicky bance), aby případné prodlení ve zpracování plateb nebrzdilo proces vydání povolení k</w:t>
      </w:r>
      <w:r w:rsidR="00AD7CA1">
        <w:t> </w:t>
      </w:r>
      <w:r w:rsidR="001636F5">
        <w:t>vjezdu.</w:t>
      </w:r>
    </w:p>
    <w:p w14:paraId="0A85912E" w14:textId="240C5291" w:rsidR="00C80D2C" w:rsidRPr="00C80D2C" w:rsidRDefault="00C80D2C" w:rsidP="00EB50DC">
      <w:r>
        <w:t>Ustanovení je ins</w:t>
      </w:r>
      <w:r w:rsidR="000C58EE">
        <w:t>pirováno ustanoveními následujících obecně závazných vyhlášek:</w:t>
      </w:r>
    </w:p>
    <w:p w14:paraId="308EC36E" w14:textId="006254CD" w:rsidR="00CE7C5B" w:rsidRDefault="00EB50DC" w:rsidP="00FA4F3A">
      <w:pPr>
        <w:pStyle w:val="Odstavecseseznamem"/>
        <w:numPr>
          <w:ilvl w:val="0"/>
          <w:numId w:val="5"/>
        </w:numPr>
      </w:pPr>
      <w:r w:rsidRPr="00FA4F3A">
        <w:rPr>
          <w:i/>
          <w:iCs/>
        </w:rPr>
        <w:t>„Jednodenní poplatek lze platit prostřednictvím platebních automatů. V tomto případě je den splatnosti shodný se dnem platby.“</w:t>
      </w:r>
      <w:r>
        <w:t xml:space="preserve"> </w:t>
      </w:r>
      <w:r w:rsidR="003467B0">
        <w:t>(o</w:t>
      </w:r>
      <w:r w:rsidR="003467B0" w:rsidRPr="003467B0">
        <w:t xml:space="preserve">becně závazná vyhláška </w:t>
      </w:r>
      <w:r w:rsidR="003467B0">
        <w:t xml:space="preserve">města Janské Lázně </w:t>
      </w:r>
      <w:r w:rsidR="003467B0" w:rsidRPr="003467B0">
        <w:t>č. 2/2019, o</w:t>
      </w:r>
      <w:r w:rsidR="00A526D4">
        <w:t> </w:t>
      </w:r>
      <w:r w:rsidR="003467B0" w:rsidRPr="003467B0">
        <w:t>místním poplatku za povolení k vjezdu s</w:t>
      </w:r>
      <w:r w:rsidR="003467B0">
        <w:t> </w:t>
      </w:r>
      <w:r w:rsidR="003467B0" w:rsidRPr="003467B0">
        <w:t>motorovým vozidlem do vybraných míst a částí města</w:t>
      </w:r>
      <w:r w:rsidR="003467B0">
        <w:t>)</w:t>
      </w:r>
    </w:p>
    <w:p w14:paraId="6B500B1A" w14:textId="54ADA79C" w:rsidR="00AF1164" w:rsidRDefault="00AF1164" w:rsidP="00FA4F3A">
      <w:pPr>
        <w:pStyle w:val="Odstavecseseznamem"/>
        <w:numPr>
          <w:ilvl w:val="0"/>
          <w:numId w:val="5"/>
        </w:numPr>
      </w:pPr>
      <w:r w:rsidRPr="00FA4F3A">
        <w:rPr>
          <w:i/>
          <w:iCs/>
        </w:rPr>
        <w:t>„Poplatek podle článku 5 této vyhlášky je rovněž splatný dnem, ve kterém byla provedena platba prostřednictvím parkovacího automatu.“</w:t>
      </w:r>
      <w:r>
        <w:t xml:space="preserve"> (</w:t>
      </w:r>
      <w:r w:rsidR="0083541C">
        <w:t>o</w:t>
      </w:r>
      <w:r w:rsidR="00732B1D">
        <w:t xml:space="preserve">becně závazná vyhláška </w:t>
      </w:r>
      <w:r w:rsidR="00D2280B">
        <w:t>m</w:t>
      </w:r>
      <w:r w:rsidR="00D2280B" w:rsidRPr="00D2280B">
        <w:t>ěst</w:t>
      </w:r>
      <w:r w:rsidR="00D2280B">
        <w:t xml:space="preserve">a </w:t>
      </w:r>
      <w:r w:rsidR="00D2280B" w:rsidRPr="00D2280B">
        <w:t>Mariánské Lázně</w:t>
      </w:r>
      <w:r w:rsidR="00D2280B">
        <w:t xml:space="preserve"> </w:t>
      </w:r>
      <w:r w:rsidR="00732B1D">
        <w:lastRenderedPageBreak/>
        <w:t>č.</w:t>
      </w:r>
      <w:r w:rsidR="00A526D4">
        <w:t> </w:t>
      </w:r>
      <w:r w:rsidR="00732B1D">
        <w:t>8/2023</w:t>
      </w:r>
      <w:r w:rsidR="00D2280B">
        <w:t xml:space="preserve">, </w:t>
      </w:r>
      <w:r w:rsidR="00732B1D">
        <w:t>o místním poplatku za povolení k vjezdu s motorovým vozidlem do vybraných míst a částí měst</w:t>
      </w:r>
      <w:r>
        <w:t>)</w:t>
      </w:r>
    </w:p>
    <w:p w14:paraId="5442AE7F" w14:textId="213CDDE0" w:rsidR="00F64642" w:rsidRDefault="002C4766" w:rsidP="00FA4F3A">
      <w:pPr>
        <w:pStyle w:val="Odstavecseseznamem"/>
        <w:numPr>
          <w:ilvl w:val="0"/>
          <w:numId w:val="5"/>
        </w:numPr>
      </w:pPr>
      <w:r w:rsidRPr="00FA4F3A">
        <w:rPr>
          <w:i/>
          <w:iCs/>
        </w:rPr>
        <w:t>„</w:t>
      </w:r>
      <w:r w:rsidR="00F64642" w:rsidRPr="00FA4F3A">
        <w:rPr>
          <w:i/>
          <w:iCs/>
        </w:rPr>
        <w:t>Kromě způsobů placení stanovených daňovým řádem</w:t>
      </w:r>
      <w:r w:rsidRPr="00FA4F3A">
        <w:rPr>
          <w:i/>
          <w:iCs/>
        </w:rPr>
        <w:t xml:space="preserve"> </w:t>
      </w:r>
      <w:r w:rsidR="00F64642" w:rsidRPr="00FA4F3A">
        <w:rPr>
          <w:i/>
          <w:iCs/>
        </w:rPr>
        <w:t>lze poplatek platit prostřednictvím platebního automatu. V tomto případě je den platby shodný se dnem provedení platby.</w:t>
      </w:r>
      <w:r w:rsidR="00370167" w:rsidRPr="00FA4F3A">
        <w:rPr>
          <w:i/>
          <w:iCs/>
        </w:rPr>
        <w:t>“</w:t>
      </w:r>
      <w:r>
        <w:t xml:space="preserve"> (</w:t>
      </w:r>
      <w:r w:rsidR="00FC7AB4">
        <w:t xml:space="preserve">obecně závazná vyhláška </w:t>
      </w:r>
      <w:r w:rsidR="007C60AA" w:rsidRPr="007C60AA">
        <w:t>města Pec pod Sněžkou</w:t>
      </w:r>
      <w:r w:rsidR="007C60AA">
        <w:t xml:space="preserve"> </w:t>
      </w:r>
      <w:r w:rsidR="00FC7AB4">
        <w:t xml:space="preserve">č. 5/2022, </w:t>
      </w:r>
      <w:r w:rsidR="00FC7AB4" w:rsidRPr="00FC7AB4">
        <w:t>o místních poplatcích</w:t>
      </w:r>
      <w:r>
        <w:t>)</w:t>
      </w:r>
    </w:p>
    <w:p w14:paraId="04885EC6" w14:textId="5F12E38C" w:rsidR="006C39DA" w:rsidRDefault="006C39DA" w:rsidP="00FA4F3A">
      <w:pPr>
        <w:pStyle w:val="Odstavecseseznamem"/>
        <w:numPr>
          <w:ilvl w:val="0"/>
          <w:numId w:val="5"/>
        </w:numPr>
      </w:pPr>
      <w:r w:rsidRPr="00FA4F3A">
        <w:rPr>
          <w:i/>
          <w:iCs/>
        </w:rPr>
        <w:t>„Poplatek za povolení k vjezdu je splatný před vjezdem do vybraného místa. Je-li poplatek stanoven paušální částkou, je splatný před vydáním povolení.“</w:t>
      </w:r>
      <w:r>
        <w:t xml:space="preserve"> (</w:t>
      </w:r>
      <w:r w:rsidR="00456B91">
        <w:t>o</w:t>
      </w:r>
      <w:r w:rsidR="00456B91" w:rsidRPr="00456B91">
        <w:t>becně závazná vyhláška statutárního města Kladna č. 3/2022</w:t>
      </w:r>
      <w:r w:rsidR="00456B91">
        <w:t xml:space="preserve">, </w:t>
      </w:r>
      <w:r w:rsidR="00456B91" w:rsidRPr="00456B91">
        <w:t>o místních poplatcích</w:t>
      </w:r>
      <w:r>
        <w:t>)</w:t>
      </w:r>
    </w:p>
    <w:p w14:paraId="7F50B375" w14:textId="2188A444" w:rsidR="000572DA" w:rsidRPr="00A05D0D" w:rsidRDefault="000572DA" w:rsidP="00FA4F3A">
      <w:pPr>
        <w:pStyle w:val="Odstavecseseznamem"/>
        <w:numPr>
          <w:ilvl w:val="0"/>
          <w:numId w:val="5"/>
        </w:numPr>
      </w:pPr>
      <w:r w:rsidRPr="00FA4F3A">
        <w:rPr>
          <w:i/>
          <w:iCs/>
        </w:rPr>
        <w:t>„Poplatek podle čl. 5 písm. a) je splatný u správce poplatku nebo i prostřednictvím technického zařízení bezprostředně před vjezdem do vybraného místa. Doklad o zaplacení musí být umístěn viditelně za přední sklo motorového vozidla, u jednostopých vozidel předložen na vyzvání.“</w:t>
      </w:r>
      <w:r w:rsidR="00A05D0D">
        <w:t xml:space="preserve"> (</w:t>
      </w:r>
      <w:r w:rsidR="00E74E49">
        <w:t>obecně závazná vyhláška města Litovel č. 1/2014, o místním poplatku za povolení k vjezdu s</w:t>
      </w:r>
      <w:r w:rsidR="00A526D4">
        <w:t> </w:t>
      </w:r>
      <w:r w:rsidR="00E74E49">
        <w:t>motorovým vozidlem do vybraných míst a částí města</w:t>
      </w:r>
      <w:r w:rsidR="00A05D0D">
        <w:t>)</w:t>
      </w:r>
    </w:p>
    <w:p w14:paraId="1272C331" w14:textId="60504F99" w:rsidR="008A1D95" w:rsidRDefault="000E59E1" w:rsidP="000E59E1">
      <w:pPr>
        <w:pStyle w:val="Nadpis2"/>
      </w:pPr>
      <w:r>
        <w:t xml:space="preserve">K </w:t>
      </w:r>
      <w:r w:rsidR="008A1D95">
        <w:t>§ 7</w:t>
      </w:r>
      <w:r>
        <w:t xml:space="preserve"> – </w:t>
      </w:r>
      <w:r w:rsidR="008A1D95">
        <w:t>Osvobození a úlevy</w:t>
      </w:r>
    </w:p>
    <w:p w14:paraId="6B34AEAA" w14:textId="10F6F705" w:rsidR="000F3CDF" w:rsidRDefault="000F3CDF" w:rsidP="00BA408D">
      <w:r w:rsidRPr="000F3CDF">
        <w:t xml:space="preserve">Odstavec </w:t>
      </w:r>
      <w:r>
        <w:t xml:space="preserve">1 přejímá zákonné osvobození fyzických osob přihlášených nebo vlastnících nemovitou věc ve vybraném místě, osob jim blízkých, manželů těchto osob a jejich dětí a dále osob, které ve vybraném </w:t>
      </w:r>
      <w:r w:rsidRPr="000F3CDF">
        <w:t xml:space="preserve">místě užívají nemovitost k podnikání nebo veřejné prospěšné činnosti, </w:t>
      </w:r>
      <w:r>
        <w:t>a</w:t>
      </w:r>
      <w:r w:rsidRPr="000F3CDF">
        <w:t xml:space="preserve"> osob, které jsou držiteli průkazu ZTP nebo ZTP/P</w:t>
      </w:r>
      <w:r>
        <w:t>,</w:t>
      </w:r>
      <w:r w:rsidRPr="000F3CDF">
        <w:t xml:space="preserve"> a jejich průvodc</w:t>
      </w:r>
      <w:r>
        <w:t>ů, které vyplývá z § 10 odst. 1 zákona o místních poplatcích. K tomu se pro vyloučení pochybností doplňuje, že manželi se rozumí rovněž registrovaní partneři.</w:t>
      </w:r>
    </w:p>
    <w:p w14:paraId="1AC2A9CA" w14:textId="1BB48F82" w:rsidR="000F3CDF" w:rsidRDefault="000F3CDF" w:rsidP="00BA408D">
      <w:r>
        <w:t xml:space="preserve">Odstavec 2 zavádí osvobození od poplatkové povinnosti (nikoliv však </w:t>
      </w:r>
      <w:r w:rsidR="001F3389">
        <w:t xml:space="preserve">od </w:t>
      </w:r>
      <w:r>
        <w:t>ohlašovací povinnosti) pro</w:t>
      </w:r>
      <w:r w:rsidR="004B0D01">
        <w:t> </w:t>
      </w:r>
      <w:r>
        <w:t>následující skupiny:</w:t>
      </w:r>
    </w:p>
    <w:p w14:paraId="40CA4D63" w14:textId="2BF521EF" w:rsidR="000F3CDF" w:rsidRDefault="004B0D01" w:rsidP="008F5A63">
      <w:pPr>
        <w:pStyle w:val="Odstavecseseznamem"/>
        <w:keepNext/>
        <w:numPr>
          <w:ilvl w:val="0"/>
          <w:numId w:val="12"/>
        </w:numPr>
        <w:ind w:left="714" w:hanging="357"/>
      </w:pPr>
      <w:r>
        <w:t>U</w:t>
      </w:r>
      <w:r w:rsidR="000F3CDF">
        <w:t>živatel</w:t>
      </w:r>
      <w:r>
        <w:t>é</w:t>
      </w:r>
      <w:r w:rsidR="000F3CDF">
        <w:t xml:space="preserve"> služebních vozidel orgánů státní správy a územní samosprávy, jejichž pracoviště se</w:t>
      </w:r>
      <w:r w:rsidR="000A0056">
        <w:t> </w:t>
      </w:r>
      <w:r w:rsidR="000F3CDF">
        <w:t>nachází ve vybraném místě</w:t>
      </w:r>
    </w:p>
    <w:p w14:paraId="1BE4317B" w14:textId="4B42ED06" w:rsidR="000A0056" w:rsidRDefault="004B0D01" w:rsidP="000A0056">
      <w:pPr>
        <w:pStyle w:val="Odstavecseseznamem"/>
        <w:numPr>
          <w:ilvl w:val="0"/>
          <w:numId w:val="13"/>
        </w:numPr>
        <w:ind w:left="1276" w:hanging="567"/>
      </w:pPr>
      <w:r>
        <w:t>T</w:t>
      </w:r>
      <w:r w:rsidR="000A0056">
        <w:t>oto osvobození ve své podstatě kopíruje zákonné osvobození pro osoby, které ve</w:t>
      </w:r>
      <w:r w:rsidR="001F3389">
        <w:t> </w:t>
      </w:r>
      <w:r w:rsidR="000A0056">
        <w:t>vybraném místě užívají nemovitou věc k veřejně prospěšné činnosti</w:t>
      </w:r>
      <w:r>
        <w:t>.</w:t>
      </w:r>
    </w:p>
    <w:p w14:paraId="74D0313A" w14:textId="762391DB" w:rsidR="000F3CDF" w:rsidRDefault="004B0D01" w:rsidP="008F5A63">
      <w:pPr>
        <w:pStyle w:val="Odstavecseseznamem"/>
        <w:keepNext/>
        <w:numPr>
          <w:ilvl w:val="0"/>
          <w:numId w:val="12"/>
        </w:numPr>
        <w:ind w:left="714" w:hanging="357"/>
      </w:pPr>
      <w:r>
        <w:t>Č</w:t>
      </w:r>
      <w:r w:rsidR="000F3CDF">
        <w:t>len</w:t>
      </w:r>
      <w:r>
        <w:t>ové</w:t>
      </w:r>
      <w:r w:rsidR="000F3CDF">
        <w:t xml:space="preserve"> </w:t>
      </w:r>
      <w:r w:rsidR="000F3CDF" w:rsidRPr="000F3CDF">
        <w:t>krizového štábu hlavního města Prahy nebo krizového štábu městské části při plnění svých povinností v rámci činnosti příslušného krizového štábu</w:t>
      </w:r>
    </w:p>
    <w:p w14:paraId="1768CD3A" w14:textId="77777777" w:rsidR="004B0D01" w:rsidRDefault="004B0D01" w:rsidP="004B0D01">
      <w:pPr>
        <w:pStyle w:val="Odstavecseseznamem"/>
        <w:numPr>
          <w:ilvl w:val="0"/>
          <w:numId w:val="13"/>
        </w:numPr>
        <w:ind w:left="1276" w:hanging="567"/>
      </w:pPr>
      <w:r>
        <w:t>T</w:t>
      </w:r>
      <w:r w:rsidR="000A0056">
        <w:t>oto osvobození má za cíl umožnit členům krizových štábů, jež jsou svou územní působností spjaty s vybraným místem, aby mohli vjíždět do vybraného místa a vykonávat v něm svou funkci veřejného zájmu bez omezení</w:t>
      </w:r>
      <w:r>
        <w:t xml:space="preserve">. </w:t>
      </w:r>
    </w:p>
    <w:p w14:paraId="1C19C31F" w14:textId="7A67553D" w:rsidR="000F3CDF" w:rsidRPr="008F5A63" w:rsidRDefault="004B0D01" w:rsidP="008F5A63">
      <w:pPr>
        <w:pStyle w:val="Odstavecseseznamem"/>
        <w:keepNext/>
        <w:numPr>
          <w:ilvl w:val="0"/>
          <w:numId w:val="12"/>
        </w:numPr>
        <w:ind w:left="714" w:hanging="357"/>
      </w:pPr>
      <w:r>
        <w:t>U</w:t>
      </w:r>
      <w:r w:rsidR="000F3CDF">
        <w:t>živatel</w:t>
      </w:r>
      <w:r>
        <w:t>é</w:t>
      </w:r>
      <w:r w:rsidR="000F3CDF">
        <w:t xml:space="preserve"> </w:t>
      </w:r>
      <w:r w:rsidR="000F3CDF" w:rsidRPr="000F3CDF">
        <w:t>služebních vozidel vlastníka, provozovatele nebo správce pozemních komunikací nebo technické infrastruktury při provádění činnosti ve vybraném místě</w:t>
      </w:r>
    </w:p>
    <w:p w14:paraId="51DCDB7B" w14:textId="77777777" w:rsidR="004B0D01" w:rsidRDefault="004B0D01" w:rsidP="004B0D01">
      <w:pPr>
        <w:pStyle w:val="Odstavecseseznamem"/>
        <w:numPr>
          <w:ilvl w:val="0"/>
          <w:numId w:val="13"/>
        </w:numPr>
        <w:ind w:left="1276" w:hanging="567"/>
      </w:pPr>
      <w:r>
        <w:t>T</w:t>
      </w:r>
      <w:r w:rsidR="000A0056">
        <w:t>oto osvobození má za cíl umožnit vlastníkovi, provozovateli či správci pozemních komunikací nebo technické infrastruktury (resp. jejich pracovníkům) vjíždět do vybraného místa a vykonávat v něm svou funkci veřejného zájmu bez omezení</w:t>
      </w:r>
      <w:r>
        <w:t>.</w:t>
      </w:r>
      <w:r w:rsidR="000A0056">
        <w:t xml:space="preserve"> </w:t>
      </w:r>
    </w:p>
    <w:p w14:paraId="230FFEEB" w14:textId="2F3062F1" w:rsidR="000F3CDF" w:rsidRDefault="004B0D01" w:rsidP="008F5A63">
      <w:pPr>
        <w:pStyle w:val="Odstavecseseznamem"/>
        <w:keepNext/>
        <w:numPr>
          <w:ilvl w:val="0"/>
          <w:numId w:val="12"/>
        </w:numPr>
        <w:ind w:left="714" w:hanging="357"/>
      </w:pPr>
      <w:r>
        <w:lastRenderedPageBreak/>
        <w:t>U</w:t>
      </w:r>
      <w:r w:rsidR="000F3CDF">
        <w:t>živatel</w:t>
      </w:r>
      <w:r>
        <w:t>é</w:t>
      </w:r>
      <w:r w:rsidR="000F3CDF">
        <w:t xml:space="preserve"> </w:t>
      </w:r>
      <w:r w:rsidR="000F3CDF" w:rsidRPr="000F3CDF">
        <w:t>vozidel při provádění činnosti ve vybraném místě na základě požadavku hlavního města Prahy, příslušné městské části, vlastníka, provozovatele nebo správce pozemních komunikací nebo technické infrastruktury</w:t>
      </w:r>
    </w:p>
    <w:p w14:paraId="52DD8602" w14:textId="50F908C7" w:rsidR="004B0D01" w:rsidRDefault="004B0D01" w:rsidP="004B0D01">
      <w:pPr>
        <w:pStyle w:val="Odstavecseseznamem"/>
        <w:numPr>
          <w:ilvl w:val="0"/>
          <w:numId w:val="13"/>
        </w:numPr>
        <w:ind w:left="1276" w:hanging="567"/>
      </w:pPr>
      <w:r>
        <w:t>T</w:t>
      </w:r>
      <w:r w:rsidR="000A0056">
        <w:t xml:space="preserve">oto osvobození má za cíl umožnit dodavatelům hlavního města Prahy, </w:t>
      </w:r>
      <w:r w:rsidR="000A0056" w:rsidRPr="000F3CDF">
        <w:t>příslušné městské části, vlastníka, provozovatele nebo správce pozemních komunikací nebo technické infrastruktury</w:t>
      </w:r>
      <w:r w:rsidR="000A0056">
        <w:t xml:space="preserve"> vjíždět do vybraného místa a vykonávat v něm svou funkci veřejného zájmu bez omezení</w:t>
      </w:r>
      <w:r>
        <w:t>. Funkce veřejného zájmu je zde odvozena od toho, že objednatelem takových služeb bude subjekt, který ze své povahy a v rámci své působnosti naplňuje veřejné zájmy</w:t>
      </w:r>
      <w:r w:rsidR="001F3389">
        <w:t xml:space="preserve"> (tj. hlavní město Praha, </w:t>
      </w:r>
      <w:r w:rsidR="001F3389" w:rsidRPr="000F3CDF">
        <w:t>městsk</w:t>
      </w:r>
      <w:r w:rsidR="001F3389">
        <w:t>á</w:t>
      </w:r>
      <w:r w:rsidR="001F3389" w:rsidRPr="000F3CDF">
        <w:t xml:space="preserve"> část, vlastník, provozovatel nebo správce pozemních komunikací nebo technické infrastruktury</w:t>
      </w:r>
      <w:r w:rsidR="001F3389">
        <w:t>)</w:t>
      </w:r>
      <w:r>
        <w:t>.</w:t>
      </w:r>
    </w:p>
    <w:p w14:paraId="0803606D" w14:textId="1E69BD07" w:rsidR="000F3CDF" w:rsidRDefault="004B0D01" w:rsidP="008F5A63">
      <w:pPr>
        <w:pStyle w:val="Odstavecseseznamem"/>
        <w:keepNext/>
        <w:numPr>
          <w:ilvl w:val="0"/>
          <w:numId w:val="12"/>
        </w:numPr>
        <w:ind w:left="714" w:hanging="357"/>
      </w:pPr>
      <w:r>
        <w:t>U</w:t>
      </w:r>
      <w:r w:rsidR="000F3CDF">
        <w:t>živatel</w:t>
      </w:r>
      <w:r>
        <w:t>é</w:t>
      </w:r>
      <w:r w:rsidR="000F3CDF">
        <w:t xml:space="preserve"> služebních vozidel sběru odpadu nebo dopravního prostředku provozovatele zařízení určeného pro nakládání s odpadem při provádění činnosti ve vybraném místě</w:t>
      </w:r>
    </w:p>
    <w:p w14:paraId="7794D9EA" w14:textId="711C922B" w:rsidR="004B0D01" w:rsidRDefault="004B0D01" w:rsidP="004B0D01">
      <w:pPr>
        <w:pStyle w:val="Odstavecseseznamem"/>
        <w:numPr>
          <w:ilvl w:val="0"/>
          <w:numId w:val="13"/>
        </w:numPr>
        <w:ind w:left="1276" w:hanging="567"/>
      </w:pPr>
      <w:r>
        <w:t>T</w:t>
      </w:r>
      <w:r w:rsidR="000A0056">
        <w:t xml:space="preserve">oto osvobození má za cíl umožnit </w:t>
      </w:r>
      <w:r>
        <w:t>subjektům zajišťujícím sběr odpadu a nakládání s odpadem ve vybraném místě</w:t>
      </w:r>
      <w:r w:rsidR="000A0056">
        <w:t xml:space="preserve"> (resp. jejich pracovníkům) vjíždět do vybraného místa a vykonávat v něm svou funkci veřejného zájmu bez omezení</w:t>
      </w:r>
      <w:r>
        <w:t>. Funkcí veřejného zájmu je zde sběr odpadu a další nakládání s ním v souladu s právním řádem</w:t>
      </w:r>
      <w:r w:rsidR="001F3389">
        <w:t>, zejm. zákona č. 541/2020 Sb., o odpadech, ve znění pozdějších předpisů</w:t>
      </w:r>
      <w:r>
        <w:t xml:space="preserve">. </w:t>
      </w:r>
    </w:p>
    <w:p w14:paraId="473D70BE" w14:textId="3C9031C9" w:rsidR="000F3CDF" w:rsidRDefault="004B0D01" w:rsidP="008F5A63">
      <w:pPr>
        <w:pStyle w:val="Odstavecseseznamem"/>
        <w:keepNext/>
        <w:numPr>
          <w:ilvl w:val="0"/>
          <w:numId w:val="12"/>
        </w:numPr>
        <w:ind w:left="714" w:hanging="357"/>
      </w:pPr>
      <w:r>
        <w:t>U</w:t>
      </w:r>
      <w:r w:rsidR="000F3CDF">
        <w:t>živatel</w:t>
      </w:r>
      <w:r>
        <w:t>é</w:t>
      </w:r>
      <w:r w:rsidR="000F3CDF">
        <w:t xml:space="preserve"> vozidel městské hromadné dopravy a Městské policie hlavního města Prahy</w:t>
      </w:r>
    </w:p>
    <w:p w14:paraId="4CC87B80" w14:textId="77777777" w:rsidR="004B0D01" w:rsidRDefault="004B0D01" w:rsidP="004B0D01">
      <w:pPr>
        <w:pStyle w:val="Odstavecseseznamem"/>
        <w:numPr>
          <w:ilvl w:val="0"/>
          <w:numId w:val="13"/>
        </w:numPr>
        <w:ind w:left="1276" w:hanging="567"/>
      </w:pPr>
      <w:r>
        <w:t xml:space="preserve">Toto osvobození má za cíl umožnit provozovateli městské hromadné dopravy a Městské policii hlavního města Prahy (resp. jejich pracovníkům) vjíždět do vybraného místa a vykonávat v něm svou funkci veřejného zájmu bez omezení. </w:t>
      </w:r>
    </w:p>
    <w:p w14:paraId="635A053A" w14:textId="11315782" w:rsidR="004B0D01" w:rsidRDefault="004B0D01" w:rsidP="008F5A63">
      <w:pPr>
        <w:pStyle w:val="Odstavecseseznamem"/>
        <w:keepNext/>
        <w:numPr>
          <w:ilvl w:val="0"/>
          <w:numId w:val="12"/>
        </w:numPr>
        <w:ind w:left="714" w:hanging="357"/>
      </w:pPr>
      <w:r>
        <w:t>U</w:t>
      </w:r>
      <w:r w:rsidR="000F3CDF">
        <w:t>živatel</w:t>
      </w:r>
      <w:r>
        <w:t>é</w:t>
      </w:r>
      <w:r w:rsidR="000F3CDF">
        <w:t xml:space="preserve"> vozidel zapojených do systému poskytování přepravních služeb osobám se sníženou schopností pohybu a orientace (včetně jejich doprovodu) s finanční a organizační podporou hlavního města Prahy</w:t>
      </w:r>
    </w:p>
    <w:p w14:paraId="4BA24E0E" w14:textId="0DE3DDCF" w:rsidR="004B0D01" w:rsidRDefault="004B0D01" w:rsidP="004B0D01">
      <w:pPr>
        <w:pStyle w:val="Odstavecseseznamem"/>
        <w:numPr>
          <w:ilvl w:val="0"/>
          <w:numId w:val="13"/>
        </w:numPr>
        <w:ind w:left="1276" w:hanging="567"/>
      </w:pPr>
      <w:r>
        <w:t xml:space="preserve">Toto osvobození má za cíl umožnit provozovatelům přepravních služeb </w:t>
      </w:r>
      <w:r w:rsidR="001F3389">
        <w:t xml:space="preserve">pro </w:t>
      </w:r>
      <w:r>
        <w:t>osob</w:t>
      </w:r>
      <w:r w:rsidR="001F3389">
        <w:t>y</w:t>
      </w:r>
      <w:r>
        <w:t xml:space="preserve"> se sníženou schopností pohybu a orientace, včetně jejich doprovodu (resp. jejich pracovníkům) vjíždět do vybraného místa a vykonávat v něm svou funkci veřejného zájmu bez omezení. Funkcí veřejného zájmu je zde podpora mobility a kompenzace pohybového omezení osob se sníženou schopností pohybu a orientace.</w:t>
      </w:r>
      <w:r w:rsidR="001F3389">
        <w:t xml:space="preserve"> Osvobození je omezeno pouze na provozovatele, kteří jsou podpořeni hlavním městem Prahou, aby se předešlo zneužití tohoto osvobození tím, že by podnikatelé účelově takovou službu zavedli pouze s cílem splnění podmínek pro osvobození.</w:t>
      </w:r>
    </w:p>
    <w:p w14:paraId="7AE76975" w14:textId="67D11F68" w:rsidR="004B0D01" w:rsidRDefault="0089758E" w:rsidP="0089758E">
      <w:r>
        <w:t>U těchto skupin se však z</w:t>
      </w:r>
      <w:r w:rsidRPr="0089758E">
        <w:t xml:space="preserve"> kontrolních a evidenčních důvodů zachovává jejich ohlašovací povinnost, kterou mohou subjekty s ohledem na dlouhodobější povahu své</w:t>
      </w:r>
      <w:r>
        <w:t xml:space="preserve">ho postavení </w:t>
      </w:r>
      <w:r w:rsidRPr="0089758E">
        <w:t>splnit dopředu, aniž</w:t>
      </w:r>
      <w:r w:rsidR="001F3389">
        <w:t> </w:t>
      </w:r>
      <w:r w:rsidRPr="0089758E">
        <w:t>by</w:t>
      </w:r>
      <w:r>
        <w:t> </w:t>
      </w:r>
      <w:r w:rsidRPr="0089758E">
        <w:t>to</w:t>
      </w:r>
      <w:r>
        <w:t> </w:t>
      </w:r>
      <w:r w:rsidRPr="0089758E">
        <w:t>výkon jejich funkce</w:t>
      </w:r>
      <w:r w:rsidR="001F3389">
        <w:t xml:space="preserve"> veřejného zájmu</w:t>
      </w:r>
      <w:r w:rsidRPr="0089758E">
        <w:t xml:space="preserve"> ohrozilo</w:t>
      </w:r>
      <w:r w:rsidR="001F3389">
        <w:t xml:space="preserve"> či nepřiměřeně ztížilo</w:t>
      </w:r>
      <w:r w:rsidRPr="0089758E">
        <w:t>.</w:t>
      </w:r>
    </w:p>
    <w:p w14:paraId="1DBC24E4" w14:textId="47846C34" w:rsidR="0089758E" w:rsidRDefault="0089758E" w:rsidP="0089758E">
      <w:r>
        <w:t>Odstavec 3</w:t>
      </w:r>
      <w:r w:rsidRPr="0089758E">
        <w:t xml:space="preserve"> </w:t>
      </w:r>
      <w:r>
        <w:t>zavádí osvobození od poplatkové povinnosti a rovněž ohlašovací povinnosti pro následující skupiny:</w:t>
      </w:r>
    </w:p>
    <w:p w14:paraId="3E37DD82" w14:textId="0D7BFD6F" w:rsidR="00B35046" w:rsidRDefault="00B35046" w:rsidP="008F5A63">
      <w:pPr>
        <w:pStyle w:val="Odstavecseseznamem"/>
        <w:keepNext/>
        <w:numPr>
          <w:ilvl w:val="0"/>
          <w:numId w:val="15"/>
        </w:numPr>
      </w:pPr>
      <w:r>
        <w:t xml:space="preserve">Uživatelé vozidel, pro která existuje platné parkovací oprávnění ve smyslu § 23 zákona o pozemních komunikacích (dále jen „parkovací oprávnění“) vydané fyzické osobě, která má místo trvalého pobytu nebo je vlastníkem nemovitosti ve vymezené oblasti, určené ke stání </w:t>
      </w:r>
      <w:r>
        <w:lastRenderedPageBreak/>
        <w:t>silničního motorového vozidla ve vymezené oblasti hlavního města Prahy č. 1, která je vymezena příslušným nařízením hlavního města Prahy</w:t>
      </w:r>
    </w:p>
    <w:p w14:paraId="0F3FAE6B" w14:textId="79A860CF" w:rsidR="001F3389" w:rsidRDefault="001F3389" w:rsidP="00575BDB">
      <w:pPr>
        <w:pStyle w:val="Odstavecseseznamem"/>
        <w:numPr>
          <w:ilvl w:val="0"/>
          <w:numId w:val="13"/>
        </w:numPr>
        <w:ind w:left="1276" w:hanging="567"/>
      </w:pPr>
      <w:r>
        <w:t>Osvobození je vázáno na existenci parkovacího oprávnění</w:t>
      </w:r>
      <w:r w:rsidR="005400FF">
        <w:t xml:space="preserve"> platného pro příslušné vybrané místo a jeho okolí, a tedy má za cíl předejít situaci, kdy by jeho držitel mohl v oblasti parkovat, ale nemohl do ní (bezplatně) vjet. Jinými slovy je v tomto ohledu místní poplatek za vydání povolení k vjezdu dle tohoto návrhu již konzumován cenou za stání silničního motorového vozidla, kterou jeho držitel platí při vydání parkovacího oprávnění. Rovněž lze u těchto osob předpokládat oprávněný dopravní zájem ve vybraném místě, podobně jako u osob majících trvalý pobyt nebo vlastnících nemovitou věc ve vybraném místě, byť v nižší intenzitě.</w:t>
      </w:r>
    </w:p>
    <w:p w14:paraId="2B332AC8" w14:textId="6DB73980" w:rsidR="009D03B6" w:rsidRDefault="007C0C87" w:rsidP="00575BDB">
      <w:pPr>
        <w:pStyle w:val="Odstavecseseznamem"/>
        <w:numPr>
          <w:ilvl w:val="0"/>
          <w:numId w:val="13"/>
        </w:numPr>
        <w:ind w:left="1276" w:hanging="567"/>
      </w:pPr>
      <w:r>
        <w:t>Vzhledem k tomu, že je toto osvobození vázáno na existenci parkovacího oprávnění, při jehož vydání se ověřují totožné podmínky nároku jako jsou podmínky nároku na toto osvobození, není nutné příslušné osoby administrativně zatěžovat dalším řízení o vydání povolení, a jsou proto osvobozeny rovněž od ohlašovací povinnosti (vedle poplatkové povinnosti).</w:t>
      </w:r>
    </w:p>
    <w:p w14:paraId="027FBB4C" w14:textId="53C71417" w:rsidR="00B35046" w:rsidRDefault="00B35046" w:rsidP="008F5A63">
      <w:pPr>
        <w:pStyle w:val="Odstavecseseznamem"/>
        <w:keepNext/>
        <w:numPr>
          <w:ilvl w:val="0"/>
          <w:numId w:val="15"/>
        </w:numPr>
        <w:ind w:left="714" w:hanging="357"/>
      </w:pPr>
      <w:r>
        <w:t>Uživatelé vozidel, pro která existuje platné parkovací oprávnění vydané fyzické osobě, která má</w:t>
      </w:r>
      <w:r w:rsidR="005400FF">
        <w:t> </w:t>
      </w:r>
      <w:r>
        <w:t>místo trvalého pobytu nebo je vlastníkem nemovitosti v katastrálním území Malá Strana, určené ke stání silničního motorového vozidla ve vymezených oblastech hlavního města Prahy č. 5 nebo č. 5-1, které jsou vymezeny příslušným nařízením hlavního města Prahy</w:t>
      </w:r>
    </w:p>
    <w:p w14:paraId="3AB9960E" w14:textId="1A19BD89" w:rsidR="009D03B6" w:rsidRDefault="007C0C87" w:rsidP="00575BDB">
      <w:pPr>
        <w:pStyle w:val="Odstavecseseznamem"/>
        <w:numPr>
          <w:ilvl w:val="0"/>
          <w:numId w:val="13"/>
        </w:numPr>
        <w:ind w:left="1276" w:hanging="567"/>
      </w:pPr>
      <w:r>
        <w:t>Důvody osvobození jsou stejné jako v případě skupiny dle písm. a), pouze s tím rozdílem, že se týkají geograficky odlišné oblasti, a to katastrálního území Malá Strana zasahujícího do vymezené oblasti č. 5, resp. č. 5-1 (dle příslušného nařízení hl. m. Prahy).</w:t>
      </w:r>
    </w:p>
    <w:p w14:paraId="20E439B0" w14:textId="735568F5" w:rsidR="00B35046" w:rsidRDefault="00B35046" w:rsidP="008F5A63">
      <w:pPr>
        <w:pStyle w:val="Odstavecseseznamem"/>
        <w:keepNext/>
        <w:numPr>
          <w:ilvl w:val="0"/>
          <w:numId w:val="15"/>
        </w:numPr>
        <w:ind w:left="714" w:hanging="357"/>
      </w:pPr>
      <w:r>
        <w:t>Uživatelé vozidel, pro která</w:t>
      </w:r>
      <w:r w:rsidRPr="00B35046">
        <w:t xml:space="preserve"> </w:t>
      </w:r>
      <w:r>
        <w:t>existuje platné parkovací oprávnění ke stání silničního motorového vozidla ve vybraném místě, které bylo zřízeno na základě hodinového kreditu rezidenta</w:t>
      </w:r>
    </w:p>
    <w:p w14:paraId="5FC90A42" w14:textId="5A754B67" w:rsidR="009D03B6" w:rsidRDefault="009D03B6" w:rsidP="00575BDB">
      <w:pPr>
        <w:pStyle w:val="Odstavecseseznamem"/>
        <w:numPr>
          <w:ilvl w:val="0"/>
          <w:numId w:val="13"/>
        </w:numPr>
        <w:ind w:left="1276" w:hanging="567"/>
      </w:pPr>
      <w:r>
        <w:t xml:space="preserve">Cílem tohoto osvobození je, aby </w:t>
      </w:r>
      <w:r w:rsidR="00CF2350">
        <w:t>fyzické osoby</w:t>
      </w:r>
      <w:r>
        <w:t xml:space="preserve"> mající místo trvalého pobytu nebo vlastnící nemovitost </w:t>
      </w:r>
      <w:r w:rsidR="00CF2350">
        <w:t xml:space="preserve">(rezidenti) </w:t>
      </w:r>
      <w:r>
        <w:t>ve vybraném místě a jeho okolí mohli na základě svého tzv.</w:t>
      </w:r>
      <w:r w:rsidR="007C0C87">
        <w:t> </w:t>
      </w:r>
      <w:r>
        <w:t>hodinového kreditu rezidenta umožnit bezplatný vjezd do vybraného místa, jelikož to komplementárně doplňuje jejich vlastní dopravní zájem v oblasti (např. vjezd pro</w:t>
      </w:r>
      <w:r w:rsidR="00575BDB">
        <w:t> </w:t>
      </w:r>
      <w:r>
        <w:t>řemeslníka, návštěvu apod.). V tomto ohledu je proto toto osvobození komplementárním opatřením k hodinovému kreditu rezidenta, jinak by tyto dvě regulace byly v rozporu (rezident by mohl zvolené osobě umožnit v oblasti stát, ale nikoliv do</w:t>
      </w:r>
      <w:r w:rsidR="00575BDB">
        <w:t> </w:t>
      </w:r>
      <w:r>
        <w:t>ní</w:t>
      </w:r>
      <w:r w:rsidR="00575BDB">
        <w:t> </w:t>
      </w:r>
      <w:r>
        <w:t>vjet). Hodinový kredit rezidenta, jak je v době předložení tohoto návrhu uvažován, je omezen maximálním množstvím hodin, které takto může rezident alokovat, a tedy se</w:t>
      </w:r>
      <w:r w:rsidR="00575BDB">
        <w:t> </w:t>
      </w:r>
      <w:r>
        <w:t>nepředpokládá dopravní dopad, který by byl v rozporu s cíli regulace.</w:t>
      </w:r>
    </w:p>
    <w:p w14:paraId="2EA87205" w14:textId="67B57D3E" w:rsidR="009D03B6" w:rsidRDefault="007C0C87" w:rsidP="00575BDB">
      <w:pPr>
        <w:pStyle w:val="Odstavecseseznamem"/>
        <w:numPr>
          <w:ilvl w:val="0"/>
          <w:numId w:val="13"/>
        </w:numPr>
        <w:ind w:left="1276" w:hanging="567"/>
      </w:pPr>
      <w:r>
        <w:t>Vzhledem k tomu, že je toto osvobození vázáno na existenci parkovacího oprávnění, při jehož vydání se ověřují totožné podmínky nároku jako jsou podmínky nároku na toto osvobození, není nutné příslušné osoby administrativně zatěžovat dalším řízení o vydání povolení, a jsou proto osvobozeny rovněž od ohlašovací povinnosti (vedle poplatkové povinnosti).</w:t>
      </w:r>
    </w:p>
    <w:p w14:paraId="4E5A9DB1" w14:textId="717DBC01" w:rsidR="00B35046" w:rsidRDefault="00B35046" w:rsidP="008F5A63">
      <w:pPr>
        <w:pStyle w:val="Odstavecseseznamem"/>
        <w:keepNext/>
        <w:numPr>
          <w:ilvl w:val="0"/>
          <w:numId w:val="15"/>
        </w:numPr>
        <w:ind w:left="714" w:hanging="357"/>
      </w:pPr>
      <w:r>
        <w:t>Uživatelé vozidel, pro která</w:t>
      </w:r>
      <w:r w:rsidRPr="00B35046">
        <w:t xml:space="preserve"> </w:t>
      </w:r>
      <w:r>
        <w:t>existuje platné parkovací oprávnění určené pro zásobování ve</w:t>
      </w:r>
      <w:r w:rsidR="007C0C87">
        <w:t> </w:t>
      </w:r>
      <w:r>
        <w:t xml:space="preserve">vybraném místě, při provádění zásobování fyzické osoby přihlášené nebo vlastnící nemovitost ve vybraném místě nebo při provádění zásobování osoby, která ve vybraném místě </w:t>
      </w:r>
      <w:r>
        <w:lastRenderedPageBreak/>
        <w:t>užívá nemovitost k podnikání nebo veřejné prospěšné činnosti, v časovém rozmezí od 20:00 do</w:t>
      </w:r>
      <w:r w:rsidR="007C0C87">
        <w:t> </w:t>
      </w:r>
      <w:r>
        <w:t>10:00</w:t>
      </w:r>
    </w:p>
    <w:p w14:paraId="7FA263BA" w14:textId="4ABC1F3D" w:rsidR="007C0C87" w:rsidRDefault="007C0C87" w:rsidP="00575BDB">
      <w:pPr>
        <w:pStyle w:val="Odstavecseseznamem"/>
        <w:numPr>
          <w:ilvl w:val="0"/>
          <w:numId w:val="13"/>
        </w:numPr>
        <w:ind w:left="1276" w:hanging="567"/>
      </w:pPr>
      <w:r>
        <w:t xml:space="preserve">Cílem tohoto osvobození je, aby </w:t>
      </w:r>
      <w:r w:rsidR="00CF2350">
        <w:t>fyzické osoby</w:t>
      </w:r>
      <w:r>
        <w:t xml:space="preserve"> mající místo trvalého pobytu nebo vlastnící nemovitost </w:t>
      </w:r>
      <w:r w:rsidR="00CF2350">
        <w:t xml:space="preserve">(rezidenti) </w:t>
      </w:r>
      <w:r>
        <w:t xml:space="preserve">ve vybraném místě </w:t>
      </w:r>
      <w:r w:rsidR="00CF2350">
        <w:t xml:space="preserve">a dále osoby (tj. fyzické osoby, fyzické osoby podnikající i právnické osoby) užívající ve vybraném místě nemovitou věc k podnikání nebo veřejně prospěšné činnosti (tj. typicky podnikatelé) </w:t>
      </w:r>
      <w:r>
        <w:t>mohl</w:t>
      </w:r>
      <w:r w:rsidR="00CF2350">
        <w:t>y</w:t>
      </w:r>
      <w:r>
        <w:t xml:space="preserve"> na</w:t>
      </w:r>
      <w:r w:rsidR="00CF2350">
        <w:t> </w:t>
      </w:r>
      <w:r>
        <w:t>základě</w:t>
      </w:r>
      <w:r w:rsidR="00CF2350">
        <w:t xml:space="preserve"> parkovacího oprávnění určeného k jejich zásobování</w:t>
      </w:r>
      <w:r>
        <w:t xml:space="preserve"> umožnit bezplatný vjezd do</w:t>
      </w:r>
      <w:r w:rsidR="008F5A63">
        <w:t> </w:t>
      </w:r>
      <w:r>
        <w:t>vybraného místa, jelikož to</w:t>
      </w:r>
      <w:r w:rsidR="00CF2350">
        <w:t> </w:t>
      </w:r>
      <w:r>
        <w:t xml:space="preserve">komplementárně doplňuje jejich vlastní dopravní zájem v oblasti (např. vjezd pro </w:t>
      </w:r>
      <w:r w:rsidR="00CF2350">
        <w:t>závoz zboží</w:t>
      </w:r>
      <w:r>
        <w:t>). V tomto ohledu je proto toto osvobození komplementárním opatřením k</w:t>
      </w:r>
      <w:r w:rsidR="00CF2350">
        <w:t> parkovacímu oprávnění určenému pro účely zásobování</w:t>
      </w:r>
      <w:r>
        <w:t>, jinak by tyto dvě regulace byly v rozporu (</w:t>
      </w:r>
      <w:r w:rsidR="00CF2350">
        <w:t>držitel zásobovacího parkovacího oprávnění</w:t>
      </w:r>
      <w:r>
        <w:t xml:space="preserve"> by mohl zvolené osobě umožnit v oblasti stát, ale nikoliv do</w:t>
      </w:r>
      <w:r w:rsidR="00CF2350">
        <w:t> </w:t>
      </w:r>
      <w:r>
        <w:t>ní vjet).</w:t>
      </w:r>
      <w:r w:rsidR="00CF2350">
        <w:t xml:space="preserve"> Jinými slovy je</w:t>
      </w:r>
      <w:r w:rsidR="005400FF">
        <w:t> </w:t>
      </w:r>
      <w:r w:rsidR="00CF2350">
        <w:t>v tomto ohledu místní poplatek za vydání povolení k vjezdu dle tohoto návrhu již konzumován cenou za stání silničního motorového vozidla, kterou platí držitel zásobovacího parkovacího oprávnění při jeho vydání.</w:t>
      </w:r>
    </w:p>
    <w:p w14:paraId="3253918F" w14:textId="671A8E25" w:rsidR="008F5A63" w:rsidRDefault="008F5A63" w:rsidP="00575BDB">
      <w:pPr>
        <w:pStyle w:val="Odstavecseseznamem"/>
        <w:numPr>
          <w:ilvl w:val="0"/>
          <w:numId w:val="13"/>
        </w:numPr>
        <w:ind w:left="1276" w:hanging="567"/>
      </w:pPr>
      <w:r>
        <w:t xml:space="preserve">Navrhuje se však zavedení časového omezení tohoto osvobození tak, aby dopravní zátěž spojená s vjezdy </w:t>
      </w:r>
      <w:r w:rsidR="005400FF">
        <w:t xml:space="preserve">silničních motorových vozidel </w:t>
      </w:r>
      <w:r>
        <w:t>za účelem zásobování byla minimalizována v době, kdy se ve vybraných místech vyskytuje nejvíce chodců (tj.</w:t>
      </w:r>
      <w:r w:rsidR="005400FF">
        <w:t> </w:t>
      </w:r>
      <w:r>
        <w:t>v denních hodinách od 10:00 do 20:00).</w:t>
      </w:r>
    </w:p>
    <w:p w14:paraId="6302A964" w14:textId="6C58D761" w:rsidR="00CF2350" w:rsidRDefault="00CF2350" w:rsidP="00575BDB">
      <w:pPr>
        <w:pStyle w:val="Odstavecseseznamem"/>
        <w:numPr>
          <w:ilvl w:val="0"/>
          <w:numId w:val="13"/>
        </w:numPr>
        <w:ind w:left="1276" w:hanging="567"/>
      </w:pPr>
      <w:r>
        <w:t>Vzhledem k tomu, že je toto osvobození vázáno na existenci parkovacího oprávnění, při jehož vydání se ověřují totožné podmínky nároku jako jsou podmínky nároku na toto osvobození, není nutné příslušné osoby administrativně zatěžovat dalším řízení o vydání povolení, a jsou proto osvobozeny rovněž od ohlašovací povinnosti (vedle poplatkové povinnosti).</w:t>
      </w:r>
    </w:p>
    <w:p w14:paraId="589F32C2" w14:textId="1F8CF955" w:rsidR="00B35046" w:rsidRPr="008F5A63" w:rsidRDefault="00B35046" w:rsidP="008F5A63">
      <w:pPr>
        <w:pStyle w:val="Odstavecseseznamem"/>
        <w:keepNext/>
        <w:numPr>
          <w:ilvl w:val="0"/>
          <w:numId w:val="15"/>
        </w:numPr>
        <w:ind w:left="714" w:hanging="357"/>
      </w:pPr>
      <w:r>
        <w:t xml:space="preserve">Uživatelé vozidel, pro která </w:t>
      </w:r>
      <w:r w:rsidRPr="00B35046">
        <w:t>existuje platné parkovací oprávnění ke stání silničního motorového vozidla ve vybraném místě vydané osobě, která má oprávnění k poskytování sociálních služeb dle zákona č. 108/2006 Sb., o sociálních službách, ve znění pozdějších předpisů, při</w:t>
      </w:r>
      <w:r>
        <w:t> </w:t>
      </w:r>
      <w:r w:rsidRPr="00B35046">
        <w:t>poskytování terénních sociálních služeb ve vybraném místě</w:t>
      </w:r>
    </w:p>
    <w:p w14:paraId="7D10AB2F" w14:textId="5EF80C4B" w:rsidR="00CF2350" w:rsidRDefault="00CF2350" w:rsidP="00575BDB">
      <w:pPr>
        <w:pStyle w:val="Odstavecseseznamem"/>
        <w:numPr>
          <w:ilvl w:val="0"/>
          <w:numId w:val="13"/>
        </w:numPr>
        <w:ind w:left="1276" w:hanging="567"/>
      </w:pPr>
      <w:r>
        <w:t xml:space="preserve">Cílem tohoto osvobození je umožnit bezplatný vjezd osobám, které poskytují všeobecně </w:t>
      </w:r>
      <w:r w:rsidR="00C63744">
        <w:t>prospěšnou službu terénní sociální péče ve vybraném místě, a potřebují proto do</w:t>
      </w:r>
      <w:r w:rsidR="008F5A63">
        <w:t> </w:t>
      </w:r>
      <w:r w:rsidR="00C63744">
        <w:t>vybraného místa vjíždět svými vozidly.</w:t>
      </w:r>
    </w:p>
    <w:p w14:paraId="6B92D6CA" w14:textId="2FD176E2" w:rsidR="00C63744" w:rsidRDefault="00C63744" w:rsidP="00575BDB">
      <w:pPr>
        <w:pStyle w:val="Odstavecseseznamem"/>
        <w:numPr>
          <w:ilvl w:val="0"/>
          <w:numId w:val="13"/>
        </w:numPr>
        <w:ind w:left="1276" w:hanging="567"/>
      </w:pPr>
      <w:r>
        <w:t>Jelikož s podobným opatřením z hlediska parkování počítá systém parkovacích oprávnění a je žádoucí, aby vjezd i parkování byly pro tyto osoby regulovány shodným způsobem (tj. aby poskytovatel terénní sociální služby mohl do vybraného místa vjet i v něm zaparkovat), je osvobození vázáno na existenci příslušného parkovacího oprávnění. Na</w:t>
      </w:r>
      <w:r w:rsidR="008F5A63">
        <w:t> </w:t>
      </w:r>
      <w:r>
        <w:t>základě toho lze rovněž upustit od ohlašovací povinnosti, neboť při vydání příslušného parkovacího oprávnění se ověřují totožné podmínky nároku jako jsou podmínky nároku na toto osvobození.</w:t>
      </w:r>
    </w:p>
    <w:p w14:paraId="50A5E772" w14:textId="3949E24B" w:rsidR="00B35046" w:rsidRDefault="00B35046" w:rsidP="008F5A63">
      <w:pPr>
        <w:pStyle w:val="Odstavecseseznamem"/>
        <w:keepNext/>
        <w:numPr>
          <w:ilvl w:val="0"/>
          <w:numId w:val="15"/>
        </w:numPr>
        <w:ind w:left="714" w:hanging="357"/>
      </w:pPr>
      <w:r>
        <w:t xml:space="preserve">Uživatelé vozidel, pro která existuje platné parkovací oprávnění ke stání silničního motorového vozidla ve vybraném místě vydané osobě, která má oprávnění poskytovat zdravotní péči poskytovanou ve vlastním sociálním prostředí pacienta v podobě domácí péče ve smyslu </w:t>
      </w:r>
      <w:r>
        <w:lastRenderedPageBreak/>
        <w:t>ustanovení § 10 odst. 1 písm. b) zákona č. 372/2011 Sb., o zdravotních službách a jejich poskytování, ve znění pozdějších předpisů, při poskytování domácí péče ve vybraném místě</w:t>
      </w:r>
    </w:p>
    <w:p w14:paraId="5440ABBF" w14:textId="23AD92D0" w:rsidR="00C63744" w:rsidRDefault="00C63744" w:rsidP="00575BDB">
      <w:pPr>
        <w:pStyle w:val="Odstavecseseznamem"/>
        <w:numPr>
          <w:ilvl w:val="0"/>
          <w:numId w:val="13"/>
        </w:numPr>
        <w:ind w:left="1276" w:hanging="567"/>
      </w:pPr>
      <w:r>
        <w:t>Cílem tohoto osvobození je umožnit bezplatný vjezd osobám, které poskytují všeobecně prospěšnou zdravotní péči ve formě domácí péče ve vybraném místě, a potřebují proto do</w:t>
      </w:r>
      <w:r w:rsidR="008F5A63">
        <w:t> </w:t>
      </w:r>
      <w:r>
        <w:t>vybraného místa vjíždět svými vozidly.</w:t>
      </w:r>
    </w:p>
    <w:p w14:paraId="627B2CF6" w14:textId="13F32D41" w:rsidR="00C63744" w:rsidRDefault="00C63744" w:rsidP="00575BDB">
      <w:pPr>
        <w:pStyle w:val="Odstavecseseznamem"/>
        <w:numPr>
          <w:ilvl w:val="0"/>
          <w:numId w:val="13"/>
        </w:numPr>
        <w:ind w:left="1276" w:hanging="567"/>
      </w:pPr>
      <w:r>
        <w:t>Jelikož s podobným opatřením z hlediska parkování počítá systém parkovacích oprávnění a je žádoucí, aby vjezd i parkování byly pro tyto osoby regulovány shodným způsobem (tj. aby poskytovatel domácí péče mohl do vybraného místa vjet i v něm zaparkovat), je</w:t>
      </w:r>
      <w:r w:rsidR="008F5A63">
        <w:t> </w:t>
      </w:r>
      <w:r>
        <w:t>osvobození vázáno na existenci příslušného parkovacího oprávnění. Na základě toho lze rovněž upustit od ohlašovací povinnosti, neboť při vydání příslušného parkovacího oprávnění se ověřují totožné podmínky nároku jako jsou podmínky nároku na toto osvobození.</w:t>
      </w:r>
    </w:p>
    <w:p w14:paraId="69176630" w14:textId="3336F386" w:rsidR="00B35046" w:rsidRDefault="00B35046" w:rsidP="008F5A63">
      <w:pPr>
        <w:pStyle w:val="Odstavecseseznamem"/>
        <w:keepNext/>
        <w:numPr>
          <w:ilvl w:val="0"/>
          <w:numId w:val="15"/>
        </w:numPr>
        <w:ind w:left="714" w:hanging="357"/>
      </w:pPr>
      <w:r>
        <w:t>Uživatelé jednostopých silničních motorových vozidel (mopedů, motocyklů a motokol bez postranního vozíku)</w:t>
      </w:r>
    </w:p>
    <w:p w14:paraId="465E05D7" w14:textId="77777777" w:rsidR="00C63744" w:rsidRDefault="00C63744" w:rsidP="00575BDB">
      <w:pPr>
        <w:pStyle w:val="Odstavecseseznamem"/>
        <w:numPr>
          <w:ilvl w:val="0"/>
          <w:numId w:val="13"/>
        </w:numPr>
        <w:ind w:left="1276" w:hanging="567"/>
      </w:pPr>
      <w:r>
        <w:t xml:space="preserve">Jednostopá motorová vozidla nejsou tímto návrhem regulována, resp. se pro ně zavádí osvobození z poplatkové a rovněž ohlašovací povinnosti, protože se významněji nepodílejí na dopravní zátěži, jejíž snížení je cílem navrhované regulace. </w:t>
      </w:r>
    </w:p>
    <w:p w14:paraId="5E2929FA" w14:textId="2577726B" w:rsidR="00C63744" w:rsidRDefault="00C63744" w:rsidP="00575BDB">
      <w:pPr>
        <w:pStyle w:val="Odstavecseseznamem"/>
        <w:numPr>
          <w:ilvl w:val="0"/>
          <w:numId w:val="13"/>
        </w:numPr>
        <w:ind w:left="1276" w:hanging="567"/>
      </w:pPr>
      <w:r>
        <w:t>Pro úplnost se dodává, že jiná než motorová vozidla (např. jízdní kola) nejsou a</w:t>
      </w:r>
      <w:r w:rsidR="008F5A63">
        <w:t> </w:t>
      </w:r>
      <w:r>
        <w:t>ani</w:t>
      </w:r>
      <w:r w:rsidR="008F5A63">
        <w:t> </w:t>
      </w:r>
      <w:r>
        <w:t xml:space="preserve">nemohou být předmětem navrhované regulace. Dle § 10 zákona o místních poplatcích lze totiž stanovit místní poplatek pouze za vydání povolení k vjezdu </w:t>
      </w:r>
      <w:r w:rsidR="00575BDB">
        <w:t>s motorovým vozidlem. Ačkoliv nejsou jízdní kola a jiná nemotorová vozidla zmíněna v kontextu tohoto osvobození ani jinde v návrhu vyhlášky, jejich vjezd zpoplatnění nepodléhá.</w:t>
      </w:r>
    </w:p>
    <w:p w14:paraId="000DDBC9" w14:textId="7A26CED8" w:rsidR="00B35046" w:rsidRDefault="00B35046" w:rsidP="008F5A63">
      <w:pPr>
        <w:pStyle w:val="Odstavecseseznamem"/>
        <w:keepNext/>
        <w:numPr>
          <w:ilvl w:val="0"/>
          <w:numId w:val="15"/>
        </w:numPr>
        <w:ind w:left="714" w:hanging="357"/>
      </w:pPr>
      <w:r>
        <w:t>Uživatelé vozidel s právem přednostní jízdy, zejména vozidel základních složek integrovaného záchranného systému, a uživatelé vozidel jimi doprovázených</w:t>
      </w:r>
    </w:p>
    <w:p w14:paraId="3DDA3BF1" w14:textId="00CC14D6" w:rsidR="00575BDB" w:rsidRDefault="00575BDB" w:rsidP="00575BDB">
      <w:pPr>
        <w:pStyle w:val="Odstavecseseznamem"/>
        <w:numPr>
          <w:ilvl w:val="0"/>
          <w:numId w:val="13"/>
        </w:numPr>
        <w:ind w:left="1276" w:hanging="567"/>
      </w:pPr>
      <w:r>
        <w:t>Vozidla s právem přednostní jízd, která jsou definována v § 41 zákona č. 361/2000 Sb., o</w:t>
      </w:r>
      <w:r w:rsidR="008F5A63">
        <w:t> </w:t>
      </w:r>
      <w:r>
        <w:t>provozu na pozemních komunikacích a o změnách některých zákonů (zákon o silničním provozu), ve znění pozdějších předpisů, případně definovaná v prováděcím předpise k tomuto ustanovení zákona, ani jimi doprovázená vozidla nemusí dle citovaného ustanovení zákona dodržovat mj. místní úpravu provozu (dopravní značky), a tedy ani</w:t>
      </w:r>
      <w:r w:rsidR="008F5A63">
        <w:t> </w:t>
      </w:r>
      <w:r>
        <w:t>dopravní značku podmiňující vjezd existencí povolení k vjezdu ve smyslu tohoto návrhu. Navrhované osvobození tento princip přejímá a vzhledem ke zvláštní povaze těchto vozidel, resp. jejich funkcí se výslovně osvobozují rovněž od ohlašovací povinnosti.</w:t>
      </w:r>
    </w:p>
    <w:p w14:paraId="206629AB" w14:textId="052B5A52" w:rsidR="00BA408D" w:rsidRPr="000F3CDF" w:rsidRDefault="00BA408D" w:rsidP="00BA408D">
      <w:r w:rsidRPr="000F3CDF">
        <w:t>Ustanovení je inspirováno ustanoveními následujících obecně závazných vyhlášek:</w:t>
      </w:r>
    </w:p>
    <w:p w14:paraId="5B2F03AE" w14:textId="12F883FE" w:rsidR="00D74FB4" w:rsidRPr="004B0D01" w:rsidRDefault="00D74FB4" w:rsidP="000838AB">
      <w:pPr>
        <w:pStyle w:val="Odstavecseseznamem"/>
        <w:numPr>
          <w:ilvl w:val="0"/>
          <w:numId w:val="6"/>
        </w:numPr>
      </w:pPr>
      <w:r w:rsidRPr="000F3CDF">
        <w:rPr>
          <w:i/>
          <w:iCs/>
        </w:rPr>
        <w:t>„Splnění ohlašovací povinnosti podle tohoto článku se nevyžaduje od osob osvobozených podle čl. 7 odst. 2 této vyhlášky.</w:t>
      </w:r>
      <w:r w:rsidR="00AC03DA" w:rsidRPr="000F3CDF">
        <w:rPr>
          <w:i/>
          <w:iCs/>
        </w:rPr>
        <w:t xml:space="preserve"> </w:t>
      </w:r>
      <w:r w:rsidR="00AC03DA" w:rsidRPr="000F3CDF">
        <w:t xml:space="preserve">[…] </w:t>
      </w:r>
      <w:r w:rsidR="00AC03DA" w:rsidRPr="000F3CDF">
        <w:rPr>
          <w:i/>
          <w:iCs/>
        </w:rPr>
        <w:t>Od poplatku se dále osvobozují: a) osoby, které jsou držiteli parkovacích karet,</w:t>
      </w:r>
      <w:r w:rsidRPr="000F3CDF">
        <w:rPr>
          <w:i/>
          <w:iCs/>
        </w:rPr>
        <w:t>“</w:t>
      </w:r>
      <w:r w:rsidRPr="000A0056">
        <w:t xml:space="preserve"> (</w:t>
      </w:r>
      <w:r w:rsidR="00607C3C" w:rsidRPr="000A0056">
        <w:t>obecně závazná vyhláška města Poličky č. 10/2019, o místním poplatku za povolení k vjezdu s</w:t>
      </w:r>
      <w:r w:rsidR="00D116C5" w:rsidRPr="000A0056">
        <w:t> </w:t>
      </w:r>
      <w:r w:rsidR="00607C3C" w:rsidRPr="000A0056">
        <w:t>motorovým vozidlem do vybraných míst a částí měst</w:t>
      </w:r>
      <w:r w:rsidRPr="004B0D01">
        <w:t>)</w:t>
      </w:r>
    </w:p>
    <w:p w14:paraId="40CA9969" w14:textId="224C244B" w:rsidR="007533B5" w:rsidRDefault="000E59E1" w:rsidP="000E59E1">
      <w:pPr>
        <w:pStyle w:val="Nadpis2"/>
      </w:pPr>
      <w:r>
        <w:lastRenderedPageBreak/>
        <w:t xml:space="preserve">K </w:t>
      </w:r>
      <w:r w:rsidR="007533B5">
        <w:t>§ 8</w:t>
      </w:r>
      <w:r>
        <w:t xml:space="preserve"> – </w:t>
      </w:r>
      <w:r w:rsidR="007533B5">
        <w:t>Správa poplatku</w:t>
      </w:r>
    </w:p>
    <w:p w14:paraId="05B227B7" w14:textId="5553CAA7" w:rsidR="0018024D" w:rsidRDefault="0018024D" w:rsidP="007309BA">
      <w:r>
        <w:t xml:space="preserve">Obdobně jako u </w:t>
      </w:r>
      <w:r w:rsidR="007309BA">
        <w:t xml:space="preserve">v případě § </w:t>
      </w:r>
      <w:r w:rsidR="00012AD6">
        <w:t xml:space="preserve">8 obecně závazné vyhlášky č. </w:t>
      </w:r>
      <w:r w:rsidR="007309BA">
        <w:t xml:space="preserve">5/2011 Sb. </w:t>
      </w:r>
      <w:r w:rsidR="00012AD6">
        <w:t xml:space="preserve">hl. m. Prahy, </w:t>
      </w:r>
      <w:r w:rsidR="007309BA">
        <w:t>o místním poplatku za užívání veřejného prostranství</w:t>
      </w:r>
      <w:r w:rsidR="00A244FF">
        <w:t xml:space="preserve">, ve znění pozdějších předpisů je </w:t>
      </w:r>
      <w:r w:rsidR="008B77A4">
        <w:t>upravena věcná, funkční a místní příslušnost ke správě poplatku</w:t>
      </w:r>
      <w:r w:rsidR="00B6310C">
        <w:t>.</w:t>
      </w:r>
    </w:p>
    <w:p w14:paraId="345CD44B" w14:textId="559534DA" w:rsidR="00B6310C" w:rsidRDefault="00B6310C" w:rsidP="00B6310C">
      <w:r>
        <w:t>Současně je tímto ustanovení</w:t>
      </w:r>
      <w:r w:rsidR="00970854">
        <w:t xml:space="preserve">m </w:t>
      </w:r>
      <w:r>
        <w:t>svěřen výkon správy místního poplatku d</w:t>
      </w:r>
      <w:r w:rsidRPr="009664C7">
        <w:t>o přenesené působnosti všech městských částí</w:t>
      </w:r>
      <w:r>
        <w:t xml:space="preserve"> podle § 3 a položky č. 2 přílohy č. 3 obecně závazné vyhlášky č. 55/2000 Sb., kterou se</w:t>
      </w:r>
      <w:r w:rsidR="001636F5">
        <w:t> </w:t>
      </w:r>
      <w:r>
        <w:t>vydává Statut hlavního města Prahy, ve znění pozdějších předpisů na základě § 32 odst. 3 zákona č. 131/2000 Sb., o hlavním městě Praze, ve znění pozdějších předpisů.</w:t>
      </w:r>
    </w:p>
    <w:p w14:paraId="2952CD06" w14:textId="05B966A0" w:rsidR="00D81122" w:rsidRDefault="000E59E1" w:rsidP="000E59E1">
      <w:pPr>
        <w:pStyle w:val="Nadpis2"/>
      </w:pPr>
      <w:r>
        <w:t xml:space="preserve">K </w:t>
      </w:r>
      <w:r w:rsidR="00D81122">
        <w:t xml:space="preserve">§ 9 </w:t>
      </w:r>
      <w:r>
        <w:t xml:space="preserve">– </w:t>
      </w:r>
      <w:r w:rsidR="00D81122">
        <w:t>Účinnost</w:t>
      </w:r>
    </w:p>
    <w:p w14:paraId="6A516B6C" w14:textId="0E9E6A37" w:rsidR="000838AB" w:rsidRDefault="00666B9A" w:rsidP="000838AB">
      <w:r>
        <w:t xml:space="preserve">Účinnost vyhlášky závisí nejen na jejím schválení, které je odhadováno na březen 2024, ale </w:t>
      </w:r>
      <w:r w:rsidR="00B67108">
        <w:t xml:space="preserve">i na celé řadě následujících kroků, zejména přijetí opatření obecné povahy a následující řešení technických aspektů (instalace kamer a dopravních značek, přizpůsobení </w:t>
      </w:r>
      <w:r w:rsidR="00983265">
        <w:t xml:space="preserve">informačního systému pro vydávání </w:t>
      </w:r>
      <w:r w:rsidR="00B67108">
        <w:t>povolení k vjezdu).</w:t>
      </w:r>
    </w:p>
    <w:p w14:paraId="21CF83B9" w14:textId="185F7442" w:rsidR="00C5197C" w:rsidRPr="00C5197C" w:rsidRDefault="009D7FF1" w:rsidP="000838AB">
      <w:r>
        <w:t xml:space="preserve">Předpokládané datum účinnosti je proto </w:t>
      </w:r>
      <w:r w:rsidR="000838AB">
        <w:t>1. října 2024</w:t>
      </w:r>
      <w:r w:rsidR="00D36C30">
        <w:t>.</w:t>
      </w:r>
    </w:p>
    <w:sectPr w:rsidR="00C5197C" w:rsidRPr="00C519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4D0B" w14:textId="77777777" w:rsidR="00BB1CB1" w:rsidRDefault="00BB1CB1" w:rsidP="00676E63">
      <w:pPr>
        <w:spacing w:after="0" w:line="240" w:lineRule="auto"/>
      </w:pPr>
      <w:r>
        <w:separator/>
      </w:r>
    </w:p>
  </w:endnote>
  <w:endnote w:type="continuationSeparator" w:id="0">
    <w:p w14:paraId="4C01B28C" w14:textId="77777777" w:rsidR="00BB1CB1" w:rsidRDefault="00BB1CB1" w:rsidP="00676E63">
      <w:pPr>
        <w:spacing w:after="0" w:line="240" w:lineRule="auto"/>
      </w:pPr>
      <w:r>
        <w:continuationSeparator/>
      </w:r>
    </w:p>
  </w:endnote>
  <w:endnote w:type="continuationNotice" w:id="1">
    <w:p w14:paraId="36D97403" w14:textId="77777777" w:rsidR="00BB1CB1" w:rsidRDefault="00BB1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53D5" w14:textId="77777777" w:rsidR="00BB1CB1" w:rsidRDefault="00BB1CB1" w:rsidP="00676E63">
      <w:pPr>
        <w:spacing w:after="0" w:line="240" w:lineRule="auto"/>
      </w:pPr>
      <w:r>
        <w:separator/>
      </w:r>
    </w:p>
  </w:footnote>
  <w:footnote w:type="continuationSeparator" w:id="0">
    <w:p w14:paraId="460EB805" w14:textId="77777777" w:rsidR="00BB1CB1" w:rsidRDefault="00BB1CB1" w:rsidP="00676E63">
      <w:pPr>
        <w:spacing w:after="0" w:line="240" w:lineRule="auto"/>
      </w:pPr>
      <w:r>
        <w:continuationSeparator/>
      </w:r>
    </w:p>
  </w:footnote>
  <w:footnote w:type="continuationNotice" w:id="1">
    <w:p w14:paraId="1D7A9174" w14:textId="77777777" w:rsidR="00BB1CB1" w:rsidRDefault="00BB1CB1">
      <w:pPr>
        <w:spacing w:after="0" w:line="240" w:lineRule="auto"/>
      </w:pPr>
    </w:p>
  </w:footnote>
  <w:footnote w:id="2">
    <w:p w14:paraId="627F1C36" w14:textId="210403CF" w:rsidR="00676E63" w:rsidRDefault="00676E63" w:rsidP="005931C2">
      <w:pPr>
        <w:pStyle w:val="Textpoznpodarou"/>
      </w:pPr>
      <w:r>
        <w:rPr>
          <w:rStyle w:val="Znakapoznpodarou"/>
        </w:rPr>
        <w:footnoteRef/>
      </w:r>
      <w:r>
        <w:t>)</w:t>
      </w:r>
      <w:r>
        <w:tab/>
      </w:r>
      <w:r w:rsidR="00A9569F" w:rsidRPr="00A9569F">
        <w:t>Poplatek za vydání povolení k vjezdu s motorovým vozidlem do vybraných míst v oblasti KRNAP</w:t>
      </w:r>
      <w:r w:rsidR="00A9569F">
        <w:t xml:space="preserve"> podle § 6 a</w:t>
      </w:r>
      <w:r w:rsidR="00AD7CA1">
        <w:t> </w:t>
      </w:r>
      <w:r w:rsidR="00A9569F">
        <w:t xml:space="preserve">násl. </w:t>
      </w:r>
      <w:r w:rsidR="005931C2">
        <w:t>vyhlášky ministerstva financí, cen a mezd České socialistické republiky č. 7/1989 Sb., o některých místních poplatcích vybíraných v Krkonošském národním parku</w:t>
      </w:r>
      <w:r w:rsidR="00840C03">
        <w:t xml:space="preserve"> </w:t>
      </w:r>
      <w:r w:rsidR="00CB50D6">
        <w:t>se podle důvodové zprávy k návrhu zákona o</w:t>
      </w:r>
      <w:r w:rsidR="00DB6B8F">
        <w:t> </w:t>
      </w:r>
      <w:r w:rsidR="00CB50D6">
        <w:t>místních poplatcích „neosvědčil“.</w:t>
      </w:r>
    </w:p>
  </w:footnote>
  <w:footnote w:id="3">
    <w:p w14:paraId="109D6E30" w14:textId="57144DDC" w:rsidR="00857E00" w:rsidRDefault="00857E00">
      <w:pPr>
        <w:pStyle w:val="Textpoznpodarou"/>
      </w:pPr>
      <w:r>
        <w:rPr>
          <w:rStyle w:val="Znakapoznpodarou"/>
        </w:rPr>
        <w:footnoteRef/>
      </w:r>
      <w:r>
        <w:t>)</w:t>
      </w:r>
      <w:r>
        <w:tab/>
      </w:r>
      <w:r w:rsidR="00D37D4F">
        <w:t xml:space="preserve">S ohledem na 3leté přechodné ustanovení </w:t>
      </w:r>
      <w:r w:rsidR="00930268">
        <w:t xml:space="preserve">musí </w:t>
      </w:r>
      <w:r w:rsidR="00743BA0">
        <w:t>být všechny</w:t>
      </w:r>
      <w:r w:rsidR="00BE4A26">
        <w:t xml:space="preserve"> obecně závazné vyhlášky obcí zveřejněny ve </w:t>
      </w:r>
      <w:r w:rsidR="001E1B84">
        <w:t xml:space="preserve">sbírce </w:t>
      </w:r>
      <w:r w:rsidR="00BE4A26">
        <w:t>až</w:t>
      </w:r>
      <w:r w:rsidR="001E1B84">
        <w:t xml:space="preserve"> </w:t>
      </w:r>
      <w:r w:rsidR="001E1B84" w:rsidRPr="001E1B84">
        <w:t>k 1. 1. 2025</w:t>
      </w:r>
      <w:r w:rsidR="00930268">
        <w:t xml:space="preserve"> </w:t>
      </w:r>
      <w:r w:rsidR="00CA35A1">
        <w:t xml:space="preserve">(§ 9 odst. </w:t>
      </w:r>
      <w:r w:rsidR="00DD3F0D">
        <w:t xml:space="preserve">1 zákona č. 35/2021 Sb., </w:t>
      </w:r>
      <w:r w:rsidR="00BE4A26" w:rsidRPr="00BE4A26">
        <w:t>o Sbírce právních předpisů územních samosprávných celků a některých správních úřadů</w:t>
      </w:r>
      <w:r w:rsidR="00CA35A1">
        <w:t>)</w:t>
      </w:r>
      <w:r w:rsidR="00930268">
        <w:t>.</w:t>
      </w:r>
    </w:p>
  </w:footnote>
  <w:footnote w:id="4">
    <w:p w14:paraId="2BA25139" w14:textId="5F763B88" w:rsidR="000405A9" w:rsidRDefault="000405A9" w:rsidP="00111F9E">
      <w:pPr>
        <w:pStyle w:val="Textpoznpodarou"/>
      </w:pPr>
      <w:r>
        <w:rPr>
          <w:rStyle w:val="Znakapoznpodarou"/>
        </w:rPr>
        <w:footnoteRef/>
      </w:r>
      <w:r>
        <w:t>)</w:t>
      </w:r>
      <w:r>
        <w:tab/>
      </w:r>
      <w:r w:rsidR="00F05309">
        <w:t xml:space="preserve">Nejen </w:t>
      </w:r>
      <w:r w:rsidR="00F60EE1">
        <w:t>stání</w:t>
      </w:r>
      <w:r w:rsidR="00F05309">
        <w:t>, ale již samotný v</w:t>
      </w:r>
      <w:r w:rsidR="006A6C29">
        <w:t xml:space="preserve">jezd do historického centra města Rakovník je </w:t>
      </w:r>
      <w:r w:rsidR="00F05309">
        <w:t xml:space="preserve">s použitím závorového systému zpoplatněn </w:t>
      </w:r>
      <w:r w:rsidR="00F60EE1">
        <w:t>po</w:t>
      </w:r>
      <w:r w:rsidR="00F05309">
        <w:t>dle n</w:t>
      </w:r>
      <w:r w:rsidR="00111F9E">
        <w:t>ařízení</w:t>
      </w:r>
      <w:r w:rsidR="00F05309">
        <w:t xml:space="preserve"> </w:t>
      </w:r>
      <w:r w:rsidR="00111F9E">
        <w:t>města Rakovník č. 1/2019, kterým se vymezují oblasti města Rakovníka, ve kterých lze místní komunikace nebo jejich určené úseky užít ke stání vozidla jen za sjednanou cenu, v souladu s</w:t>
      </w:r>
      <w:r w:rsidR="00F60EE1">
        <w:t> </w:t>
      </w:r>
      <w:r w:rsidR="00111F9E">
        <w:t>cenovými předpisy</w:t>
      </w:r>
      <w:r w:rsidR="00356DAD">
        <w:t>.</w:t>
      </w:r>
    </w:p>
  </w:footnote>
  <w:footnote w:id="5">
    <w:p w14:paraId="3FAFC3B3" w14:textId="424413E7" w:rsidR="00816165" w:rsidRDefault="00816165">
      <w:pPr>
        <w:pStyle w:val="Textpoznpodarou"/>
      </w:pPr>
      <w:r>
        <w:rPr>
          <w:rStyle w:val="Znakapoznpodarou"/>
        </w:rPr>
        <w:footnoteRef/>
      </w:r>
      <w:r>
        <w:t>)</w:t>
      </w:r>
      <w:r>
        <w:tab/>
      </w:r>
      <w:r w:rsidR="00B65B2D">
        <w:t xml:space="preserve">Ministerstvo vnitra, odbor dozoru a kontroly: </w:t>
      </w:r>
      <w:hyperlink r:id="rId1" w:history="1">
        <w:r w:rsidR="000A5E90" w:rsidRPr="003A0E4B">
          <w:rPr>
            <w:rStyle w:val="Hypertextovodkaz"/>
          </w:rPr>
          <w:t>Metodický materiál č. 28</w:t>
        </w:r>
      </w:hyperlink>
      <w:r w:rsidR="000A5E90">
        <w:t xml:space="preserve"> </w:t>
      </w:r>
      <w:r w:rsidRPr="00816165">
        <w:t>k vydání obecně závazné vyhlášky obce, kterou se stanovují místní poplatky dle právního stavu k 1. 1. 2024</w:t>
      </w:r>
      <w:r>
        <w:t xml:space="preserve">, </w:t>
      </w:r>
      <w:hyperlink r:id="rId2" w:tooltip="MM_28_03e - vzor OZV o místním poplatku za povolení k vjezdu s motorovým vozidlem do vybraných míst a částí měst (1. 1. 2024)" w:history="1">
        <w:r w:rsidR="008F71D3" w:rsidRPr="008F71D3">
          <w:rPr>
            <w:rStyle w:val="Hypertextovodkaz"/>
          </w:rPr>
          <w:t>Vzor obecně závazné vyhlášky o</w:t>
        </w:r>
        <w:r w:rsidR="00786077">
          <w:rPr>
            <w:rStyle w:val="Hypertextovodkaz"/>
          </w:rPr>
          <w:t> </w:t>
        </w:r>
        <w:r w:rsidR="008F71D3" w:rsidRPr="008F71D3">
          <w:rPr>
            <w:rStyle w:val="Hypertextovodkaz"/>
          </w:rPr>
          <w:t>místním poplatku za povolení k vjezdu s motorovým vozidlem do vybraných míst a částí měst</w:t>
        </w:r>
      </w:hyperlink>
      <w:r w:rsidR="001F52F2">
        <w:t>, verze z 03.08.2023</w:t>
      </w:r>
    </w:p>
  </w:footnote>
  <w:footnote w:id="6">
    <w:p w14:paraId="73457C75" w14:textId="6354E462" w:rsidR="00CB1581" w:rsidRDefault="00CB1581" w:rsidP="00F04439">
      <w:pPr>
        <w:pStyle w:val="Textpoznpodarou"/>
      </w:pPr>
      <w:r>
        <w:rPr>
          <w:rStyle w:val="Znakapoznpodarou"/>
        </w:rPr>
        <w:footnoteRef/>
      </w:r>
      <w:r w:rsidR="00F04439">
        <w:t>)</w:t>
      </w:r>
      <w:r w:rsidR="00F04439">
        <w:tab/>
        <w:t>obecně závazná vyhláška statutárního města Karlovy Vary č. 7/2022, o místním poplatku za povolení k vjezdu s motorovým vozidlem, do vybraných míst a částí měst</w:t>
      </w:r>
      <w:r w:rsidR="00C85C68">
        <w:t xml:space="preserve"> </w:t>
      </w:r>
    </w:p>
  </w:footnote>
  <w:footnote w:id="7">
    <w:p w14:paraId="46C0188B" w14:textId="331417EB" w:rsidR="003C7969" w:rsidRDefault="003C7969">
      <w:pPr>
        <w:pStyle w:val="Textpoznpodarou"/>
      </w:pPr>
      <w:r>
        <w:rPr>
          <w:rStyle w:val="Znakapoznpodarou"/>
        </w:rPr>
        <w:footnoteRef/>
      </w:r>
      <w:r>
        <w:t>)</w:t>
      </w:r>
      <w:r>
        <w:tab/>
      </w:r>
      <w:r w:rsidR="00355E20" w:rsidRPr="00355E20">
        <w:t>Příjmy a výdaje územních rozpočtů (export ze systému monitor.statnipokladna.cz, datum 13.11.2023)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AB07" w14:textId="79DDD3CE" w:rsidR="002F360E" w:rsidRPr="002F360E" w:rsidRDefault="002F360E">
    <w:pPr>
      <w:pStyle w:val="Zhlav"/>
      <w:rPr>
        <w:i/>
        <w:iCs/>
      </w:rPr>
    </w:pPr>
    <w:r w:rsidRPr="006C3B3A">
      <w:rPr>
        <w:i/>
        <w:iCs/>
      </w:rPr>
      <w:t xml:space="preserve">Pracovní verze ze dne </w:t>
    </w:r>
    <w:r>
      <w:rPr>
        <w:i/>
        <w:iCs/>
      </w:rPr>
      <w:fldChar w:fldCharType="begin"/>
    </w:r>
    <w:r>
      <w:rPr>
        <w:i/>
        <w:iCs/>
      </w:rPr>
      <w:instrText xml:space="preserve"> SAVEDATE  \@ "d.M.yyyy H:mm"  \* MERGEFORMAT </w:instrText>
    </w:r>
    <w:r>
      <w:rPr>
        <w:i/>
        <w:iCs/>
      </w:rPr>
      <w:fldChar w:fldCharType="separate"/>
    </w:r>
    <w:r w:rsidR="00CB0CC5">
      <w:rPr>
        <w:i/>
        <w:iCs/>
        <w:noProof/>
      </w:rPr>
      <w:t>18.11.2023 12:41</w:t>
    </w:r>
    <w:r>
      <w:rPr>
        <w:i/>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057"/>
    <w:multiLevelType w:val="hybridMultilevel"/>
    <w:tmpl w:val="4712DBCC"/>
    <w:lvl w:ilvl="0" w:tplc="8F32FC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4DB6"/>
    <w:multiLevelType w:val="hybridMultilevel"/>
    <w:tmpl w:val="E0CA4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B02BD"/>
    <w:multiLevelType w:val="hybridMultilevel"/>
    <w:tmpl w:val="5BC2AB48"/>
    <w:lvl w:ilvl="0" w:tplc="23A004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347359"/>
    <w:multiLevelType w:val="hybridMultilevel"/>
    <w:tmpl w:val="B5D06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46CA9"/>
    <w:multiLevelType w:val="hybridMultilevel"/>
    <w:tmpl w:val="E16225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A0366"/>
    <w:multiLevelType w:val="hybridMultilevel"/>
    <w:tmpl w:val="2368AEFE"/>
    <w:lvl w:ilvl="0" w:tplc="E9342918">
      <w:numFmt w:val="bullet"/>
      <w:lvlText w:val="-"/>
      <w:lvlJc w:val="left"/>
      <w:pPr>
        <w:ind w:left="1790" w:hanging="71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736F0B"/>
    <w:multiLevelType w:val="hybridMultilevel"/>
    <w:tmpl w:val="82907322"/>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1677"/>
    <w:multiLevelType w:val="hybridMultilevel"/>
    <w:tmpl w:val="364A3E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B240A7"/>
    <w:multiLevelType w:val="hybridMultilevel"/>
    <w:tmpl w:val="066EFD42"/>
    <w:lvl w:ilvl="0" w:tplc="E9342918">
      <w:numFmt w:val="bullet"/>
      <w:lvlText w:val="-"/>
      <w:lvlJc w:val="left"/>
      <w:pPr>
        <w:ind w:left="1070" w:hanging="71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F1FD5"/>
    <w:multiLevelType w:val="hybridMultilevel"/>
    <w:tmpl w:val="04E0662C"/>
    <w:lvl w:ilvl="0" w:tplc="23A004F6">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246F10"/>
    <w:multiLevelType w:val="hybridMultilevel"/>
    <w:tmpl w:val="FA9A8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EA7896"/>
    <w:multiLevelType w:val="hybridMultilevel"/>
    <w:tmpl w:val="43B4A154"/>
    <w:lvl w:ilvl="0" w:tplc="E9342918">
      <w:numFmt w:val="bullet"/>
      <w:lvlText w:val="-"/>
      <w:lvlJc w:val="left"/>
      <w:pPr>
        <w:ind w:left="1070" w:hanging="71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1124"/>
    <w:multiLevelType w:val="hybridMultilevel"/>
    <w:tmpl w:val="E16225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604520"/>
    <w:multiLevelType w:val="hybridMultilevel"/>
    <w:tmpl w:val="E0CA4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B25DF3"/>
    <w:multiLevelType w:val="hybridMultilevel"/>
    <w:tmpl w:val="CF767332"/>
    <w:lvl w:ilvl="0" w:tplc="E9342918">
      <w:numFmt w:val="bullet"/>
      <w:lvlText w:val="-"/>
      <w:lvlJc w:val="left"/>
      <w:pPr>
        <w:ind w:left="1070" w:hanging="71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970825">
    <w:abstractNumId w:val="4"/>
  </w:num>
  <w:num w:numId="2" w16cid:durableId="582228793">
    <w:abstractNumId w:val="7"/>
  </w:num>
  <w:num w:numId="3" w16cid:durableId="1795563779">
    <w:abstractNumId w:val="12"/>
  </w:num>
  <w:num w:numId="4" w16cid:durableId="1047559290">
    <w:abstractNumId w:val="10"/>
  </w:num>
  <w:num w:numId="5" w16cid:durableId="1733232664">
    <w:abstractNumId w:val="9"/>
  </w:num>
  <w:num w:numId="6" w16cid:durableId="527840061">
    <w:abstractNumId w:val="2"/>
  </w:num>
  <w:num w:numId="7" w16cid:durableId="7147881">
    <w:abstractNumId w:val="0"/>
  </w:num>
  <w:num w:numId="8" w16cid:durableId="314648310">
    <w:abstractNumId w:val="6"/>
  </w:num>
  <w:num w:numId="9" w16cid:durableId="1974366587">
    <w:abstractNumId w:val="14"/>
  </w:num>
  <w:num w:numId="10" w16cid:durableId="593900065">
    <w:abstractNumId w:val="8"/>
  </w:num>
  <w:num w:numId="11" w16cid:durableId="1434322794">
    <w:abstractNumId w:val="11"/>
  </w:num>
  <w:num w:numId="12" w16cid:durableId="1478495963">
    <w:abstractNumId w:val="1"/>
  </w:num>
  <w:num w:numId="13" w16cid:durableId="1264075324">
    <w:abstractNumId w:val="5"/>
  </w:num>
  <w:num w:numId="14" w16cid:durableId="625355812">
    <w:abstractNumId w:val="3"/>
  </w:num>
  <w:num w:numId="15" w16cid:durableId="1313099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06211"/>
    <w:rsid w:val="000101ED"/>
    <w:rsid w:val="00011543"/>
    <w:rsid w:val="00012AD6"/>
    <w:rsid w:val="00016D7D"/>
    <w:rsid w:val="0001750B"/>
    <w:rsid w:val="000175A1"/>
    <w:rsid w:val="00021331"/>
    <w:rsid w:val="000276B9"/>
    <w:rsid w:val="00030930"/>
    <w:rsid w:val="00034FA2"/>
    <w:rsid w:val="000405A9"/>
    <w:rsid w:val="000462FD"/>
    <w:rsid w:val="00046466"/>
    <w:rsid w:val="00046FC8"/>
    <w:rsid w:val="00052EC3"/>
    <w:rsid w:val="00056798"/>
    <w:rsid w:val="000572DA"/>
    <w:rsid w:val="00057407"/>
    <w:rsid w:val="00060DF5"/>
    <w:rsid w:val="0006410C"/>
    <w:rsid w:val="00081766"/>
    <w:rsid w:val="00081B74"/>
    <w:rsid w:val="000838AB"/>
    <w:rsid w:val="00083C03"/>
    <w:rsid w:val="00086736"/>
    <w:rsid w:val="00086A62"/>
    <w:rsid w:val="00087763"/>
    <w:rsid w:val="0009042A"/>
    <w:rsid w:val="000909AE"/>
    <w:rsid w:val="0009572B"/>
    <w:rsid w:val="000A0056"/>
    <w:rsid w:val="000A03BA"/>
    <w:rsid w:val="000A1C14"/>
    <w:rsid w:val="000A5E90"/>
    <w:rsid w:val="000B6B09"/>
    <w:rsid w:val="000C0414"/>
    <w:rsid w:val="000C58EE"/>
    <w:rsid w:val="000E59E1"/>
    <w:rsid w:val="000F08FD"/>
    <w:rsid w:val="000F34ED"/>
    <w:rsid w:val="000F3CDF"/>
    <w:rsid w:val="000F4959"/>
    <w:rsid w:val="0010448A"/>
    <w:rsid w:val="00105541"/>
    <w:rsid w:val="00105BFB"/>
    <w:rsid w:val="00111F9E"/>
    <w:rsid w:val="00121569"/>
    <w:rsid w:val="00122648"/>
    <w:rsid w:val="00122E42"/>
    <w:rsid w:val="00122ECC"/>
    <w:rsid w:val="00125415"/>
    <w:rsid w:val="00127D94"/>
    <w:rsid w:val="00135BAC"/>
    <w:rsid w:val="00136342"/>
    <w:rsid w:val="0014173C"/>
    <w:rsid w:val="00146DF7"/>
    <w:rsid w:val="00151AF9"/>
    <w:rsid w:val="0015333A"/>
    <w:rsid w:val="00155070"/>
    <w:rsid w:val="001619C7"/>
    <w:rsid w:val="001636F5"/>
    <w:rsid w:val="00167D03"/>
    <w:rsid w:val="0018024D"/>
    <w:rsid w:val="001802A8"/>
    <w:rsid w:val="001915B3"/>
    <w:rsid w:val="00192C4B"/>
    <w:rsid w:val="00193BA8"/>
    <w:rsid w:val="001A42F4"/>
    <w:rsid w:val="001A6023"/>
    <w:rsid w:val="001B0E14"/>
    <w:rsid w:val="001B40F6"/>
    <w:rsid w:val="001B7E60"/>
    <w:rsid w:val="001C0589"/>
    <w:rsid w:val="001C10A4"/>
    <w:rsid w:val="001C30E7"/>
    <w:rsid w:val="001C3FE4"/>
    <w:rsid w:val="001D19BE"/>
    <w:rsid w:val="001E04F1"/>
    <w:rsid w:val="001E0F0D"/>
    <w:rsid w:val="001E1B84"/>
    <w:rsid w:val="001E7022"/>
    <w:rsid w:val="001F3389"/>
    <w:rsid w:val="001F3E0E"/>
    <w:rsid w:val="001F52F2"/>
    <w:rsid w:val="001F67B1"/>
    <w:rsid w:val="00202C62"/>
    <w:rsid w:val="0020400F"/>
    <w:rsid w:val="00206003"/>
    <w:rsid w:val="002152A3"/>
    <w:rsid w:val="0021607D"/>
    <w:rsid w:val="00217034"/>
    <w:rsid w:val="0022065C"/>
    <w:rsid w:val="00221D7D"/>
    <w:rsid w:val="0023056A"/>
    <w:rsid w:val="00232EA5"/>
    <w:rsid w:val="00233FBE"/>
    <w:rsid w:val="00234D8C"/>
    <w:rsid w:val="00236625"/>
    <w:rsid w:val="002375DA"/>
    <w:rsid w:val="00243022"/>
    <w:rsid w:val="0025365E"/>
    <w:rsid w:val="00253E31"/>
    <w:rsid w:val="00253ED4"/>
    <w:rsid w:val="00265823"/>
    <w:rsid w:val="00271E4B"/>
    <w:rsid w:val="00272E9B"/>
    <w:rsid w:val="00282067"/>
    <w:rsid w:val="002872FC"/>
    <w:rsid w:val="002A3E7F"/>
    <w:rsid w:val="002A7836"/>
    <w:rsid w:val="002C1887"/>
    <w:rsid w:val="002C2871"/>
    <w:rsid w:val="002C4766"/>
    <w:rsid w:val="002C59CF"/>
    <w:rsid w:val="002C716F"/>
    <w:rsid w:val="002D28DE"/>
    <w:rsid w:val="002E4BED"/>
    <w:rsid w:val="002F360E"/>
    <w:rsid w:val="002F4160"/>
    <w:rsid w:val="002F4C24"/>
    <w:rsid w:val="00311AE5"/>
    <w:rsid w:val="003137D7"/>
    <w:rsid w:val="00316B41"/>
    <w:rsid w:val="00330984"/>
    <w:rsid w:val="00334D7C"/>
    <w:rsid w:val="00340C69"/>
    <w:rsid w:val="00341C48"/>
    <w:rsid w:val="00341C8C"/>
    <w:rsid w:val="003467B0"/>
    <w:rsid w:val="0035439A"/>
    <w:rsid w:val="00355E20"/>
    <w:rsid w:val="00356DAD"/>
    <w:rsid w:val="00360FBC"/>
    <w:rsid w:val="003637DF"/>
    <w:rsid w:val="003642CD"/>
    <w:rsid w:val="0036731E"/>
    <w:rsid w:val="00370167"/>
    <w:rsid w:val="003737C6"/>
    <w:rsid w:val="00375B10"/>
    <w:rsid w:val="00376C5A"/>
    <w:rsid w:val="0038140F"/>
    <w:rsid w:val="00387557"/>
    <w:rsid w:val="00394D15"/>
    <w:rsid w:val="003A0E4B"/>
    <w:rsid w:val="003A63E4"/>
    <w:rsid w:val="003B1999"/>
    <w:rsid w:val="003B4B8E"/>
    <w:rsid w:val="003C268D"/>
    <w:rsid w:val="003C2C1D"/>
    <w:rsid w:val="003C5A65"/>
    <w:rsid w:val="003C78B4"/>
    <w:rsid w:val="003C7969"/>
    <w:rsid w:val="003D4CB5"/>
    <w:rsid w:val="003E41CE"/>
    <w:rsid w:val="003F385D"/>
    <w:rsid w:val="003F5D70"/>
    <w:rsid w:val="004101C7"/>
    <w:rsid w:val="004109F0"/>
    <w:rsid w:val="00417527"/>
    <w:rsid w:val="004235D0"/>
    <w:rsid w:val="00426931"/>
    <w:rsid w:val="00427C80"/>
    <w:rsid w:val="00437847"/>
    <w:rsid w:val="00444321"/>
    <w:rsid w:val="00446727"/>
    <w:rsid w:val="00447F8A"/>
    <w:rsid w:val="00450D96"/>
    <w:rsid w:val="004536C7"/>
    <w:rsid w:val="00455AF1"/>
    <w:rsid w:val="00456915"/>
    <w:rsid w:val="00456B91"/>
    <w:rsid w:val="00464E2C"/>
    <w:rsid w:val="0047462C"/>
    <w:rsid w:val="00475031"/>
    <w:rsid w:val="0049330D"/>
    <w:rsid w:val="004964AA"/>
    <w:rsid w:val="004965A8"/>
    <w:rsid w:val="004A0491"/>
    <w:rsid w:val="004A236D"/>
    <w:rsid w:val="004A6860"/>
    <w:rsid w:val="004B0D01"/>
    <w:rsid w:val="004B4DF2"/>
    <w:rsid w:val="004B5B5A"/>
    <w:rsid w:val="004B7797"/>
    <w:rsid w:val="004C1318"/>
    <w:rsid w:val="004D1F4D"/>
    <w:rsid w:val="004D1FD1"/>
    <w:rsid w:val="004D28B6"/>
    <w:rsid w:val="004D2B4D"/>
    <w:rsid w:val="004E39FD"/>
    <w:rsid w:val="004E7A6E"/>
    <w:rsid w:val="004F1CF0"/>
    <w:rsid w:val="004F24F6"/>
    <w:rsid w:val="004F3F02"/>
    <w:rsid w:val="00500A30"/>
    <w:rsid w:val="00502BD7"/>
    <w:rsid w:val="00506EF0"/>
    <w:rsid w:val="00512B8F"/>
    <w:rsid w:val="00517045"/>
    <w:rsid w:val="0052018C"/>
    <w:rsid w:val="00525427"/>
    <w:rsid w:val="00532276"/>
    <w:rsid w:val="005400FF"/>
    <w:rsid w:val="005412B9"/>
    <w:rsid w:val="005523DD"/>
    <w:rsid w:val="00555D6E"/>
    <w:rsid w:val="0056083E"/>
    <w:rsid w:val="0056413C"/>
    <w:rsid w:val="00564590"/>
    <w:rsid w:val="00566D3B"/>
    <w:rsid w:val="00567266"/>
    <w:rsid w:val="0057123E"/>
    <w:rsid w:val="00575BDB"/>
    <w:rsid w:val="00576C42"/>
    <w:rsid w:val="00585BAA"/>
    <w:rsid w:val="00587AEB"/>
    <w:rsid w:val="00587B69"/>
    <w:rsid w:val="005931C2"/>
    <w:rsid w:val="00595317"/>
    <w:rsid w:val="00596C7B"/>
    <w:rsid w:val="005A2528"/>
    <w:rsid w:val="005A7E99"/>
    <w:rsid w:val="005A7F67"/>
    <w:rsid w:val="005B6650"/>
    <w:rsid w:val="005C0ECC"/>
    <w:rsid w:val="005C42AE"/>
    <w:rsid w:val="005C42D6"/>
    <w:rsid w:val="005C7EA8"/>
    <w:rsid w:val="005D04D7"/>
    <w:rsid w:val="005D0D45"/>
    <w:rsid w:val="005D7943"/>
    <w:rsid w:val="005F05F3"/>
    <w:rsid w:val="00601892"/>
    <w:rsid w:val="00607C3C"/>
    <w:rsid w:val="00626653"/>
    <w:rsid w:val="006306BD"/>
    <w:rsid w:val="00635507"/>
    <w:rsid w:val="00642EEE"/>
    <w:rsid w:val="0065001F"/>
    <w:rsid w:val="00653D5C"/>
    <w:rsid w:val="00664D4E"/>
    <w:rsid w:val="00666B9A"/>
    <w:rsid w:val="00671261"/>
    <w:rsid w:val="00671C59"/>
    <w:rsid w:val="006751B7"/>
    <w:rsid w:val="00676E63"/>
    <w:rsid w:val="00686E3B"/>
    <w:rsid w:val="0069235C"/>
    <w:rsid w:val="00692B1F"/>
    <w:rsid w:val="006A3A9A"/>
    <w:rsid w:val="006A6C29"/>
    <w:rsid w:val="006B46D3"/>
    <w:rsid w:val="006C068E"/>
    <w:rsid w:val="006C194D"/>
    <w:rsid w:val="006C39DA"/>
    <w:rsid w:val="006C46B1"/>
    <w:rsid w:val="006C4BC5"/>
    <w:rsid w:val="006C5139"/>
    <w:rsid w:val="006C58E5"/>
    <w:rsid w:val="006C636D"/>
    <w:rsid w:val="006C7279"/>
    <w:rsid w:val="006D2484"/>
    <w:rsid w:val="006D4D1F"/>
    <w:rsid w:val="006D5BAE"/>
    <w:rsid w:val="006D6583"/>
    <w:rsid w:val="006E156D"/>
    <w:rsid w:val="006F3749"/>
    <w:rsid w:val="006F79F9"/>
    <w:rsid w:val="007046B5"/>
    <w:rsid w:val="007076FD"/>
    <w:rsid w:val="00711FBE"/>
    <w:rsid w:val="00712786"/>
    <w:rsid w:val="007136CE"/>
    <w:rsid w:val="0071671F"/>
    <w:rsid w:val="00724206"/>
    <w:rsid w:val="00724249"/>
    <w:rsid w:val="007309BA"/>
    <w:rsid w:val="0073186E"/>
    <w:rsid w:val="00732B1D"/>
    <w:rsid w:val="00733649"/>
    <w:rsid w:val="00740658"/>
    <w:rsid w:val="007431D2"/>
    <w:rsid w:val="00743BA0"/>
    <w:rsid w:val="007533B5"/>
    <w:rsid w:val="007565AA"/>
    <w:rsid w:val="00760C2D"/>
    <w:rsid w:val="00761C77"/>
    <w:rsid w:val="00770A93"/>
    <w:rsid w:val="00772F5D"/>
    <w:rsid w:val="00774925"/>
    <w:rsid w:val="0077758E"/>
    <w:rsid w:val="00781834"/>
    <w:rsid w:val="00786077"/>
    <w:rsid w:val="0079146C"/>
    <w:rsid w:val="0079149F"/>
    <w:rsid w:val="007919BE"/>
    <w:rsid w:val="00791B03"/>
    <w:rsid w:val="007944DB"/>
    <w:rsid w:val="00794A68"/>
    <w:rsid w:val="00794CAB"/>
    <w:rsid w:val="00795BBB"/>
    <w:rsid w:val="007977B6"/>
    <w:rsid w:val="007A2D48"/>
    <w:rsid w:val="007B0964"/>
    <w:rsid w:val="007B1791"/>
    <w:rsid w:val="007B22CE"/>
    <w:rsid w:val="007B430D"/>
    <w:rsid w:val="007B432F"/>
    <w:rsid w:val="007B4D55"/>
    <w:rsid w:val="007B67C8"/>
    <w:rsid w:val="007C0B34"/>
    <w:rsid w:val="007C0C87"/>
    <w:rsid w:val="007C2320"/>
    <w:rsid w:val="007C3BA7"/>
    <w:rsid w:val="007C55C4"/>
    <w:rsid w:val="007C60AA"/>
    <w:rsid w:val="007D59F5"/>
    <w:rsid w:val="007E5079"/>
    <w:rsid w:val="007F4767"/>
    <w:rsid w:val="00816165"/>
    <w:rsid w:val="00816D7B"/>
    <w:rsid w:val="00816FEC"/>
    <w:rsid w:val="00821E36"/>
    <w:rsid w:val="0082736F"/>
    <w:rsid w:val="00830571"/>
    <w:rsid w:val="0083541C"/>
    <w:rsid w:val="00840C03"/>
    <w:rsid w:val="00847F6A"/>
    <w:rsid w:val="00850EE0"/>
    <w:rsid w:val="008525A5"/>
    <w:rsid w:val="00857E00"/>
    <w:rsid w:val="00866BE2"/>
    <w:rsid w:val="0086740C"/>
    <w:rsid w:val="00874023"/>
    <w:rsid w:val="00874AC4"/>
    <w:rsid w:val="0088536D"/>
    <w:rsid w:val="0089498A"/>
    <w:rsid w:val="0089758E"/>
    <w:rsid w:val="0089778C"/>
    <w:rsid w:val="008A1D95"/>
    <w:rsid w:val="008A70F0"/>
    <w:rsid w:val="008B006C"/>
    <w:rsid w:val="008B4F91"/>
    <w:rsid w:val="008B77A4"/>
    <w:rsid w:val="008B7FDD"/>
    <w:rsid w:val="008C03AE"/>
    <w:rsid w:val="008C60B8"/>
    <w:rsid w:val="008D40BA"/>
    <w:rsid w:val="008E0A0D"/>
    <w:rsid w:val="008E1144"/>
    <w:rsid w:val="008E5235"/>
    <w:rsid w:val="008E63E4"/>
    <w:rsid w:val="008F0661"/>
    <w:rsid w:val="008F092E"/>
    <w:rsid w:val="008F5A63"/>
    <w:rsid w:val="008F71D3"/>
    <w:rsid w:val="00901879"/>
    <w:rsid w:val="00901BE2"/>
    <w:rsid w:val="009043B5"/>
    <w:rsid w:val="009050FD"/>
    <w:rsid w:val="00905D7D"/>
    <w:rsid w:val="00914928"/>
    <w:rsid w:val="0091503A"/>
    <w:rsid w:val="00915D4C"/>
    <w:rsid w:val="00921E80"/>
    <w:rsid w:val="009257BB"/>
    <w:rsid w:val="00925934"/>
    <w:rsid w:val="00926AB6"/>
    <w:rsid w:val="00930268"/>
    <w:rsid w:val="00930D90"/>
    <w:rsid w:val="00931693"/>
    <w:rsid w:val="00932282"/>
    <w:rsid w:val="00933781"/>
    <w:rsid w:val="00937429"/>
    <w:rsid w:val="009374A2"/>
    <w:rsid w:val="00937FB4"/>
    <w:rsid w:val="00944DEC"/>
    <w:rsid w:val="0094749B"/>
    <w:rsid w:val="009529E7"/>
    <w:rsid w:val="00955DCB"/>
    <w:rsid w:val="00956F19"/>
    <w:rsid w:val="0096034B"/>
    <w:rsid w:val="0096617A"/>
    <w:rsid w:val="009664C7"/>
    <w:rsid w:val="0096720D"/>
    <w:rsid w:val="00970854"/>
    <w:rsid w:val="009710D3"/>
    <w:rsid w:val="00977908"/>
    <w:rsid w:val="00983265"/>
    <w:rsid w:val="00987E7B"/>
    <w:rsid w:val="00991085"/>
    <w:rsid w:val="0099555F"/>
    <w:rsid w:val="00996936"/>
    <w:rsid w:val="00997ECD"/>
    <w:rsid w:val="009A40C7"/>
    <w:rsid w:val="009A75CB"/>
    <w:rsid w:val="009B026D"/>
    <w:rsid w:val="009B5754"/>
    <w:rsid w:val="009B62CC"/>
    <w:rsid w:val="009C09E7"/>
    <w:rsid w:val="009C2288"/>
    <w:rsid w:val="009D02CB"/>
    <w:rsid w:val="009D03B6"/>
    <w:rsid w:val="009D1F7C"/>
    <w:rsid w:val="009D58EA"/>
    <w:rsid w:val="009D6D8D"/>
    <w:rsid w:val="009D7849"/>
    <w:rsid w:val="009D7FF1"/>
    <w:rsid w:val="009E4E48"/>
    <w:rsid w:val="00A02B11"/>
    <w:rsid w:val="00A05D0D"/>
    <w:rsid w:val="00A07C9A"/>
    <w:rsid w:val="00A10503"/>
    <w:rsid w:val="00A11099"/>
    <w:rsid w:val="00A16C1D"/>
    <w:rsid w:val="00A173DA"/>
    <w:rsid w:val="00A244FF"/>
    <w:rsid w:val="00A24AE2"/>
    <w:rsid w:val="00A2702E"/>
    <w:rsid w:val="00A270FB"/>
    <w:rsid w:val="00A30096"/>
    <w:rsid w:val="00A526D4"/>
    <w:rsid w:val="00A558E1"/>
    <w:rsid w:val="00A57397"/>
    <w:rsid w:val="00A6272D"/>
    <w:rsid w:val="00A72675"/>
    <w:rsid w:val="00A83024"/>
    <w:rsid w:val="00A84591"/>
    <w:rsid w:val="00A87DDA"/>
    <w:rsid w:val="00A9569F"/>
    <w:rsid w:val="00AA13A9"/>
    <w:rsid w:val="00AA42B8"/>
    <w:rsid w:val="00AB3692"/>
    <w:rsid w:val="00AB5E19"/>
    <w:rsid w:val="00AB7932"/>
    <w:rsid w:val="00AC03DA"/>
    <w:rsid w:val="00AC462E"/>
    <w:rsid w:val="00AC7ABE"/>
    <w:rsid w:val="00AD1455"/>
    <w:rsid w:val="00AD24F4"/>
    <w:rsid w:val="00AD4C20"/>
    <w:rsid w:val="00AD65F8"/>
    <w:rsid w:val="00AD7CA1"/>
    <w:rsid w:val="00AE1441"/>
    <w:rsid w:val="00AE37B2"/>
    <w:rsid w:val="00AE58DB"/>
    <w:rsid w:val="00AE7D87"/>
    <w:rsid w:val="00AF03E9"/>
    <w:rsid w:val="00AF1164"/>
    <w:rsid w:val="00AF4DAE"/>
    <w:rsid w:val="00AF6DD9"/>
    <w:rsid w:val="00B00CAE"/>
    <w:rsid w:val="00B0404C"/>
    <w:rsid w:val="00B10649"/>
    <w:rsid w:val="00B12CA3"/>
    <w:rsid w:val="00B2062E"/>
    <w:rsid w:val="00B2176F"/>
    <w:rsid w:val="00B21CDB"/>
    <w:rsid w:val="00B21F18"/>
    <w:rsid w:val="00B22D69"/>
    <w:rsid w:val="00B256F3"/>
    <w:rsid w:val="00B26053"/>
    <w:rsid w:val="00B2776D"/>
    <w:rsid w:val="00B27C1D"/>
    <w:rsid w:val="00B30D0A"/>
    <w:rsid w:val="00B35046"/>
    <w:rsid w:val="00B47B3F"/>
    <w:rsid w:val="00B515A7"/>
    <w:rsid w:val="00B52561"/>
    <w:rsid w:val="00B52FE5"/>
    <w:rsid w:val="00B56129"/>
    <w:rsid w:val="00B56FE4"/>
    <w:rsid w:val="00B6052F"/>
    <w:rsid w:val="00B6310C"/>
    <w:rsid w:val="00B65B2D"/>
    <w:rsid w:val="00B66E5E"/>
    <w:rsid w:val="00B67108"/>
    <w:rsid w:val="00B806B3"/>
    <w:rsid w:val="00B80BCF"/>
    <w:rsid w:val="00B81E58"/>
    <w:rsid w:val="00B83680"/>
    <w:rsid w:val="00B8449F"/>
    <w:rsid w:val="00B90260"/>
    <w:rsid w:val="00BA2404"/>
    <w:rsid w:val="00BA2948"/>
    <w:rsid w:val="00BA408D"/>
    <w:rsid w:val="00BA42AC"/>
    <w:rsid w:val="00BB0C3C"/>
    <w:rsid w:val="00BB0F68"/>
    <w:rsid w:val="00BB1CB1"/>
    <w:rsid w:val="00BB687C"/>
    <w:rsid w:val="00BC19DE"/>
    <w:rsid w:val="00BC3D64"/>
    <w:rsid w:val="00BD256F"/>
    <w:rsid w:val="00BE00D5"/>
    <w:rsid w:val="00BE4A26"/>
    <w:rsid w:val="00BE5617"/>
    <w:rsid w:val="00BF2B4A"/>
    <w:rsid w:val="00BF5BF2"/>
    <w:rsid w:val="00BF5EB8"/>
    <w:rsid w:val="00C01825"/>
    <w:rsid w:val="00C05B65"/>
    <w:rsid w:val="00C30AA3"/>
    <w:rsid w:val="00C32919"/>
    <w:rsid w:val="00C3403E"/>
    <w:rsid w:val="00C40834"/>
    <w:rsid w:val="00C44206"/>
    <w:rsid w:val="00C446FB"/>
    <w:rsid w:val="00C4616B"/>
    <w:rsid w:val="00C46E6B"/>
    <w:rsid w:val="00C50C32"/>
    <w:rsid w:val="00C5197C"/>
    <w:rsid w:val="00C608D4"/>
    <w:rsid w:val="00C62A63"/>
    <w:rsid w:val="00C63744"/>
    <w:rsid w:val="00C761FD"/>
    <w:rsid w:val="00C80D2C"/>
    <w:rsid w:val="00C8377B"/>
    <w:rsid w:val="00C85C68"/>
    <w:rsid w:val="00C90A65"/>
    <w:rsid w:val="00C91453"/>
    <w:rsid w:val="00C93DBB"/>
    <w:rsid w:val="00C94CB7"/>
    <w:rsid w:val="00C95789"/>
    <w:rsid w:val="00C97247"/>
    <w:rsid w:val="00CA35A1"/>
    <w:rsid w:val="00CA3A9F"/>
    <w:rsid w:val="00CA4FE3"/>
    <w:rsid w:val="00CA6B00"/>
    <w:rsid w:val="00CB0CC5"/>
    <w:rsid w:val="00CB1581"/>
    <w:rsid w:val="00CB50D6"/>
    <w:rsid w:val="00CC5C72"/>
    <w:rsid w:val="00CC7E32"/>
    <w:rsid w:val="00CD0C7F"/>
    <w:rsid w:val="00CD0D48"/>
    <w:rsid w:val="00CD2840"/>
    <w:rsid w:val="00CD477F"/>
    <w:rsid w:val="00CE0375"/>
    <w:rsid w:val="00CE53DA"/>
    <w:rsid w:val="00CE5876"/>
    <w:rsid w:val="00CE7C5B"/>
    <w:rsid w:val="00CF2350"/>
    <w:rsid w:val="00CF68F6"/>
    <w:rsid w:val="00CF7B7F"/>
    <w:rsid w:val="00D005FE"/>
    <w:rsid w:val="00D113D5"/>
    <w:rsid w:val="00D116C5"/>
    <w:rsid w:val="00D12C48"/>
    <w:rsid w:val="00D12FDC"/>
    <w:rsid w:val="00D16808"/>
    <w:rsid w:val="00D2280B"/>
    <w:rsid w:val="00D2386E"/>
    <w:rsid w:val="00D26245"/>
    <w:rsid w:val="00D30159"/>
    <w:rsid w:val="00D30A8A"/>
    <w:rsid w:val="00D344A2"/>
    <w:rsid w:val="00D35226"/>
    <w:rsid w:val="00D36971"/>
    <w:rsid w:val="00D36C30"/>
    <w:rsid w:val="00D37C9F"/>
    <w:rsid w:val="00D37D4F"/>
    <w:rsid w:val="00D40EE7"/>
    <w:rsid w:val="00D40F0A"/>
    <w:rsid w:val="00D4307C"/>
    <w:rsid w:val="00D45ED7"/>
    <w:rsid w:val="00D461B3"/>
    <w:rsid w:val="00D47785"/>
    <w:rsid w:val="00D57F2B"/>
    <w:rsid w:val="00D74FB4"/>
    <w:rsid w:val="00D801EF"/>
    <w:rsid w:val="00D81122"/>
    <w:rsid w:val="00D83C49"/>
    <w:rsid w:val="00D83FFE"/>
    <w:rsid w:val="00DA132C"/>
    <w:rsid w:val="00DA2531"/>
    <w:rsid w:val="00DA5E65"/>
    <w:rsid w:val="00DB50E7"/>
    <w:rsid w:val="00DB6B8F"/>
    <w:rsid w:val="00DC17E2"/>
    <w:rsid w:val="00DC2BC6"/>
    <w:rsid w:val="00DC3AD8"/>
    <w:rsid w:val="00DD3F0D"/>
    <w:rsid w:val="00DD77C7"/>
    <w:rsid w:val="00DE67C8"/>
    <w:rsid w:val="00DE6880"/>
    <w:rsid w:val="00DF541C"/>
    <w:rsid w:val="00DF6F2C"/>
    <w:rsid w:val="00DF7807"/>
    <w:rsid w:val="00E03486"/>
    <w:rsid w:val="00E10F28"/>
    <w:rsid w:val="00E179EA"/>
    <w:rsid w:val="00E30917"/>
    <w:rsid w:val="00E30B64"/>
    <w:rsid w:val="00E32716"/>
    <w:rsid w:val="00E33F5B"/>
    <w:rsid w:val="00E34CA1"/>
    <w:rsid w:val="00E36848"/>
    <w:rsid w:val="00E43FA5"/>
    <w:rsid w:val="00E441F5"/>
    <w:rsid w:val="00E64648"/>
    <w:rsid w:val="00E65A54"/>
    <w:rsid w:val="00E711C9"/>
    <w:rsid w:val="00E717CA"/>
    <w:rsid w:val="00E74E49"/>
    <w:rsid w:val="00E859D8"/>
    <w:rsid w:val="00E877CE"/>
    <w:rsid w:val="00E87C3C"/>
    <w:rsid w:val="00E9075B"/>
    <w:rsid w:val="00E9155F"/>
    <w:rsid w:val="00E94883"/>
    <w:rsid w:val="00E96F05"/>
    <w:rsid w:val="00EA78FD"/>
    <w:rsid w:val="00EB3226"/>
    <w:rsid w:val="00EB50DC"/>
    <w:rsid w:val="00EB5186"/>
    <w:rsid w:val="00EC2E4E"/>
    <w:rsid w:val="00EC6525"/>
    <w:rsid w:val="00ED14A8"/>
    <w:rsid w:val="00ED3406"/>
    <w:rsid w:val="00ED469A"/>
    <w:rsid w:val="00ED4C2D"/>
    <w:rsid w:val="00EE26CD"/>
    <w:rsid w:val="00EE7D2F"/>
    <w:rsid w:val="00EF2F52"/>
    <w:rsid w:val="00EF5100"/>
    <w:rsid w:val="00F023D4"/>
    <w:rsid w:val="00F04439"/>
    <w:rsid w:val="00F05309"/>
    <w:rsid w:val="00F05BA3"/>
    <w:rsid w:val="00F1430D"/>
    <w:rsid w:val="00F16D7B"/>
    <w:rsid w:val="00F26250"/>
    <w:rsid w:val="00F26BAF"/>
    <w:rsid w:val="00F40830"/>
    <w:rsid w:val="00F434DD"/>
    <w:rsid w:val="00F475B2"/>
    <w:rsid w:val="00F50CF3"/>
    <w:rsid w:val="00F51921"/>
    <w:rsid w:val="00F532D3"/>
    <w:rsid w:val="00F54E20"/>
    <w:rsid w:val="00F60001"/>
    <w:rsid w:val="00F60EE1"/>
    <w:rsid w:val="00F64642"/>
    <w:rsid w:val="00F67030"/>
    <w:rsid w:val="00F72F74"/>
    <w:rsid w:val="00F74680"/>
    <w:rsid w:val="00F81462"/>
    <w:rsid w:val="00F82C21"/>
    <w:rsid w:val="00F9186F"/>
    <w:rsid w:val="00F91B68"/>
    <w:rsid w:val="00F96576"/>
    <w:rsid w:val="00F97CBA"/>
    <w:rsid w:val="00FA4289"/>
    <w:rsid w:val="00FA4423"/>
    <w:rsid w:val="00FA4F3A"/>
    <w:rsid w:val="00FA6EC8"/>
    <w:rsid w:val="00FA7AEE"/>
    <w:rsid w:val="00FB002F"/>
    <w:rsid w:val="00FB5109"/>
    <w:rsid w:val="00FB7E66"/>
    <w:rsid w:val="00FC1A83"/>
    <w:rsid w:val="00FC46A8"/>
    <w:rsid w:val="00FC6B65"/>
    <w:rsid w:val="00FC7AB4"/>
    <w:rsid w:val="00FD4D45"/>
    <w:rsid w:val="00FD613F"/>
    <w:rsid w:val="00FE5264"/>
    <w:rsid w:val="00FE65FE"/>
    <w:rsid w:val="00FF1FBA"/>
    <w:rsid w:val="00FF3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BE70"/>
  <w15:chartTrackingRefBased/>
  <w15:docId w15:val="{68DDDC0C-AFF0-43D3-B7C9-9499A293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6E63"/>
    <w:pPr>
      <w:spacing w:after="320" w:line="320" w:lineRule="exact"/>
      <w:jc w:val="both"/>
    </w:pPr>
  </w:style>
  <w:style w:type="paragraph" w:styleId="Nadpis1">
    <w:name w:val="heading 1"/>
    <w:basedOn w:val="Normln"/>
    <w:next w:val="Normln"/>
    <w:link w:val="Nadpis1Char"/>
    <w:uiPriority w:val="9"/>
    <w:qFormat/>
    <w:rsid w:val="00CF7B7F"/>
    <w:pPr>
      <w:keepNext/>
      <w:keepLines/>
      <w:spacing w:before="320"/>
      <w:outlineLvl w:val="0"/>
    </w:pPr>
    <w:rPr>
      <w:rFonts w:asciiTheme="majorHAnsi" w:eastAsiaTheme="majorEastAsia" w:hAnsiTheme="majorHAnsi" w:cstheme="majorBidi"/>
      <w:b/>
      <w:szCs w:val="32"/>
      <w:u w:val="single"/>
    </w:rPr>
  </w:style>
  <w:style w:type="paragraph" w:styleId="Nadpis2">
    <w:name w:val="heading 2"/>
    <w:basedOn w:val="Normln"/>
    <w:next w:val="Normln"/>
    <w:link w:val="Nadpis2Char"/>
    <w:uiPriority w:val="9"/>
    <w:unhideWhenUsed/>
    <w:qFormat/>
    <w:rsid w:val="00CF7B7F"/>
    <w:pPr>
      <w:keepNext/>
      <w:keepLines/>
      <w:spacing w:before="320"/>
      <w:outlineLvl w:val="1"/>
    </w:pPr>
    <w:rPr>
      <w:rFonts w:asciiTheme="majorHAnsi" w:eastAsiaTheme="majorEastAsia" w:hAnsiTheme="majorHAnsi" w:cstheme="majorBidi"/>
      <w:szCs w:val="26"/>
      <w:u w:val="single"/>
    </w:rPr>
  </w:style>
  <w:style w:type="paragraph" w:styleId="Nadpis3">
    <w:name w:val="heading 3"/>
    <w:basedOn w:val="Nadpis2"/>
    <w:next w:val="Normln"/>
    <w:link w:val="Nadpis3Char"/>
    <w:uiPriority w:val="9"/>
    <w:unhideWhenUsed/>
    <w:qFormat/>
    <w:rsid w:val="00B80BCF"/>
    <w:pPr>
      <w:spacing w:after="0"/>
      <w:outlineLvl w:val="2"/>
    </w:pPr>
    <w:rPr>
      <w:i/>
      <w:szCs w:val="24"/>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F7B7F"/>
    <w:pPr>
      <w:spacing w:before="320"/>
      <w:contextualSpacing/>
      <w:jc w:val="center"/>
    </w:pPr>
    <w:rPr>
      <w:rFonts w:asciiTheme="majorHAnsi" w:eastAsiaTheme="majorEastAsia" w:hAnsiTheme="majorHAnsi" w:cstheme="majorBidi"/>
      <w:b/>
      <w:kern w:val="28"/>
      <w:szCs w:val="56"/>
    </w:rPr>
  </w:style>
  <w:style w:type="character" w:customStyle="1" w:styleId="NzevChar">
    <w:name w:val="Název Char"/>
    <w:basedOn w:val="Standardnpsmoodstavce"/>
    <w:link w:val="Nzev"/>
    <w:uiPriority w:val="10"/>
    <w:rsid w:val="00CF7B7F"/>
    <w:rPr>
      <w:rFonts w:asciiTheme="majorHAnsi" w:eastAsiaTheme="majorEastAsia" w:hAnsiTheme="majorHAnsi" w:cstheme="majorBidi"/>
      <w:b/>
      <w:kern w:val="28"/>
      <w:szCs w:val="56"/>
    </w:rPr>
  </w:style>
  <w:style w:type="character" w:customStyle="1" w:styleId="Nadpis1Char">
    <w:name w:val="Nadpis 1 Char"/>
    <w:basedOn w:val="Standardnpsmoodstavce"/>
    <w:link w:val="Nadpis1"/>
    <w:uiPriority w:val="9"/>
    <w:rsid w:val="00CF7B7F"/>
    <w:rPr>
      <w:rFonts w:asciiTheme="majorHAnsi" w:eastAsiaTheme="majorEastAsia" w:hAnsiTheme="majorHAnsi" w:cstheme="majorBidi"/>
      <w:b/>
      <w:szCs w:val="32"/>
      <w:u w:val="single"/>
    </w:rPr>
  </w:style>
  <w:style w:type="character" w:customStyle="1" w:styleId="Nadpis2Char">
    <w:name w:val="Nadpis 2 Char"/>
    <w:basedOn w:val="Standardnpsmoodstavce"/>
    <w:link w:val="Nadpis2"/>
    <w:uiPriority w:val="9"/>
    <w:rsid w:val="00CF7B7F"/>
    <w:rPr>
      <w:rFonts w:asciiTheme="majorHAnsi" w:eastAsiaTheme="majorEastAsia" w:hAnsiTheme="majorHAnsi" w:cstheme="majorBidi"/>
      <w:szCs w:val="26"/>
      <w:u w:val="single"/>
    </w:rPr>
  </w:style>
  <w:style w:type="paragraph" w:styleId="Bezmezer">
    <w:name w:val="No Spacing"/>
    <w:uiPriority w:val="1"/>
    <w:qFormat/>
    <w:rsid w:val="00155070"/>
    <w:pPr>
      <w:spacing w:after="0" w:line="320" w:lineRule="exact"/>
      <w:jc w:val="both"/>
    </w:pPr>
  </w:style>
  <w:style w:type="paragraph" w:styleId="Textpoznpodarou">
    <w:name w:val="footnote text"/>
    <w:basedOn w:val="Normln"/>
    <w:link w:val="TextpoznpodarouChar"/>
    <w:uiPriority w:val="99"/>
    <w:semiHidden/>
    <w:unhideWhenUsed/>
    <w:rsid w:val="00676E63"/>
    <w:pPr>
      <w:spacing w:after="0" w:line="240" w:lineRule="auto"/>
      <w:ind w:left="284" w:hanging="284"/>
    </w:pPr>
    <w:rPr>
      <w:sz w:val="20"/>
      <w:szCs w:val="20"/>
    </w:rPr>
  </w:style>
  <w:style w:type="character" w:customStyle="1" w:styleId="TextpoznpodarouChar">
    <w:name w:val="Text pozn. pod čarou Char"/>
    <w:basedOn w:val="Standardnpsmoodstavce"/>
    <w:link w:val="Textpoznpodarou"/>
    <w:uiPriority w:val="99"/>
    <w:semiHidden/>
    <w:rsid w:val="00676E63"/>
    <w:rPr>
      <w:sz w:val="20"/>
      <w:szCs w:val="20"/>
    </w:rPr>
  </w:style>
  <w:style w:type="character" w:styleId="Znakapoznpodarou">
    <w:name w:val="footnote reference"/>
    <w:basedOn w:val="Standardnpsmoodstavce"/>
    <w:uiPriority w:val="99"/>
    <w:semiHidden/>
    <w:unhideWhenUsed/>
    <w:rsid w:val="00676E63"/>
    <w:rPr>
      <w:vertAlign w:val="superscript"/>
    </w:rPr>
  </w:style>
  <w:style w:type="paragraph" w:styleId="Zhlav">
    <w:name w:val="header"/>
    <w:basedOn w:val="Normln"/>
    <w:link w:val="ZhlavChar"/>
    <w:unhideWhenUsed/>
    <w:rsid w:val="00D35226"/>
    <w:pPr>
      <w:tabs>
        <w:tab w:val="center" w:pos="4536"/>
        <w:tab w:val="right" w:pos="9072"/>
      </w:tabs>
      <w:spacing w:after="0" w:line="240" w:lineRule="auto"/>
    </w:pPr>
  </w:style>
  <w:style w:type="character" w:customStyle="1" w:styleId="ZhlavChar">
    <w:name w:val="Záhlaví Char"/>
    <w:basedOn w:val="Standardnpsmoodstavce"/>
    <w:link w:val="Zhlav"/>
    <w:rsid w:val="00D35226"/>
  </w:style>
  <w:style w:type="paragraph" w:styleId="Zpat">
    <w:name w:val="footer"/>
    <w:basedOn w:val="Normln"/>
    <w:link w:val="ZpatChar"/>
    <w:uiPriority w:val="99"/>
    <w:unhideWhenUsed/>
    <w:rsid w:val="00D35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D35226"/>
  </w:style>
  <w:style w:type="paragraph" w:styleId="Odstavecseseznamem">
    <w:name w:val="List Paragraph"/>
    <w:basedOn w:val="Normln"/>
    <w:uiPriority w:val="34"/>
    <w:qFormat/>
    <w:rsid w:val="00ED3406"/>
    <w:pPr>
      <w:ind w:left="720"/>
      <w:contextualSpacing/>
    </w:pPr>
  </w:style>
  <w:style w:type="character" w:styleId="Zstupntext">
    <w:name w:val="Placeholder Text"/>
    <w:basedOn w:val="Standardnpsmoodstavce"/>
    <w:uiPriority w:val="99"/>
    <w:semiHidden/>
    <w:rsid w:val="00B52FE5"/>
    <w:rPr>
      <w:color w:val="666666"/>
    </w:rPr>
  </w:style>
  <w:style w:type="character" w:customStyle="1" w:styleId="Nadpis3Char">
    <w:name w:val="Nadpis 3 Char"/>
    <w:basedOn w:val="Standardnpsmoodstavce"/>
    <w:link w:val="Nadpis3"/>
    <w:uiPriority w:val="9"/>
    <w:rsid w:val="00B80BCF"/>
    <w:rPr>
      <w:rFonts w:asciiTheme="majorHAnsi" w:eastAsiaTheme="majorEastAsia" w:hAnsiTheme="majorHAnsi" w:cstheme="majorBidi"/>
      <w:i/>
      <w:szCs w:val="24"/>
    </w:rPr>
  </w:style>
  <w:style w:type="character" w:styleId="Hypertextovodkaz">
    <w:name w:val="Hyperlink"/>
    <w:basedOn w:val="Standardnpsmoodstavce"/>
    <w:uiPriority w:val="99"/>
    <w:unhideWhenUsed/>
    <w:rsid w:val="008F71D3"/>
    <w:rPr>
      <w:color w:val="0563C1" w:themeColor="hyperlink"/>
      <w:u w:val="single"/>
    </w:rPr>
  </w:style>
  <w:style w:type="character" w:styleId="Nevyeenzmnka">
    <w:name w:val="Unresolved Mention"/>
    <w:basedOn w:val="Standardnpsmoodstavce"/>
    <w:uiPriority w:val="99"/>
    <w:semiHidden/>
    <w:unhideWhenUsed/>
    <w:rsid w:val="008F71D3"/>
    <w:rPr>
      <w:color w:val="605E5C"/>
      <w:shd w:val="clear" w:color="auto" w:fill="E1DFDD"/>
    </w:rPr>
  </w:style>
  <w:style w:type="table" w:styleId="Mkatabulky">
    <w:name w:val="Table Grid"/>
    <w:basedOn w:val="Normlntabulka"/>
    <w:uiPriority w:val="39"/>
    <w:rsid w:val="0025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40830"/>
    <w:rPr>
      <w:sz w:val="16"/>
      <w:szCs w:val="16"/>
    </w:rPr>
  </w:style>
  <w:style w:type="paragraph" w:styleId="Textkomente">
    <w:name w:val="annotation text"/>
    <w:basedOn w:val="Normln"/>
    <w:link w:val="TextkomenteChar"/>
    <w:uiPriority w:val="99"/>
    <w:unhideWhenUsed/>
    <w:rsid w:val="00F40830"/>
    <w:pPr>
      <w:spacing w:line="240" w:lineRule="auto"/>
    </w:pPr>
    <w:rPr>
      <w:sz w:val="20"/>
      <w:szCs w:val="20"/>
    </w:rPr>
  </w:style>
  <w:style w:type="character" w:customStyle="1" w:styleId="TextkomenteChar">
    <w:name w:val="Text komentáře Char"/>
    <w:basedOn w:val="Standardnpsmoodstavce"/>
    <w:link w:val="Textkomente"/>
    <w:uiPriority w:val="99"/>
    <w:rsid w:val="00F40830"/>
    <w:rPr>
      <w:sz w:val="20"/>
      <w:szCs w:val="20"/>
    </w:rPr>
  </w:style>
  <w:style w:type="paragraph" w:styleId="Pedmtkomente">
    <w:name w:val="annotation subject"/>
    <w:basedOn w:val="Textkomente"/>
    <w:next w:val="Textkomente"/>
    <w:link w:val="PedmtkomenteChar"/>
    <w:uiPriority w:val="99"/>
    <w:semiHidden/>
    <w:unhideWhenUsed/>
    <w:rsid w:val="00F40830"/>
    <w:rPr>
      <w:b/>
      <w:bCs/>
    </w:rPr>
  </w:style>
  <w:style w:type="character" w:customStyle="1" w:styleId="PedmtkomenteChar">
    <w:name w:val="Předmět komentáře Char"/>
    <w:basedOn w:val="TextkomenteChar"/>
    <w:link w:val="Pedmtkomente"/>
    <w:uiPriority w:val="99"/>
    <w:semiHidden/>
    <w:rsid w:val="00F40830"/>
    <w:rPr>
      <w:b/>
      <w:bCs/>
      <w:sz w:val="20"/>
      <w:szCs w:val="20"/>
    </w:rPr>
  </w:style>
  <w:style w:type="paragraph" w:styleId="Revize">
    <w:name w:val="Revision"/>
    <w:hidden/>
    <w:uiPriority w:val="99"/>
    <w:semiHidden/>
    <w:rsid w:val="00334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358">
      <w:bodyDiv w:val="1"/>
      <w:marLeft w:val="0"/>
      <w:marRight w:val="0"/>
      <w:marTop w:val="0"/>
      <w:marBottom w:val="0"/>
      <w:divBdr>
        <w:top w:val="none" w:sz="0" w:space="0" w:color="auto"/>
        <w:left w:val="none" w:sz="0" w:space="0" w:color="auto"/>
        <w:bottom w:val="none" w:sz="0" w:space="0" w:color="auto"/>
        <w:right w:val="none" w:sz="0" w:space="0" w:color="auto"/>
      </w:divBdr>
    </w:div>
    <w:div w:id="282882686">
      <w:bodyDiv w:val="1"/>
      <w:marLeft w:val="0"/>
      <w:marRight w:val="0"/>
      <w:marTop w:val="0"/>
      <w:marBottom w:val="0"/>
      <w:divBdr>
        <w:top w:val="none" w:sz="0" w:space="0" w:color="auto"/>
        <w:left w:val="none" w:sz="0" w:space="0" w:color="auto"/>
        <w:bottom w:val="none" w:sz="0" w:space="0" w:color="auto"/>
        <w:right w:val="none" w:sz="0" w:space="0" w:color="auto"/>
      </w:divBdr>
    </w:div>
    <w:div w:id="536048361">
      <w:bodyDiv w:val="1"/>
      <w:marLeft w:val="0"/>
      <w:marRight w:val="0"/>
      <w:marTop w:val="0"/>
      <w:marBottom w:val="0"/>
      <w:divBdr>
        <w:top w:val="none" w:sz="0" w:space="0" w:color="auto"/>
        <w:left w:val="none" w:sz="0" w:space="0" w:color="auto"/>
        <w:bottom w:val="none" w:sz="0" w:space="0" w:color="auto"/>
        <w:right w:val="none" w:sz="0" w:space="0" w:color="auto"/>
      </w:divBdr>
    </w:div>
    <w:div w:id="612522246">
      <w:bodyDiv w:val="1"/>
      <w:marLeft w:val="0"/>
      <w:marRight w:val="0"/>
      <w:marTop w:val="0"/>
      <w:marBottom w:val="0"/>
      <w:divBdr>
        <w:top w:val="none" w:sz="0" w:space="0" w:color="auto"/>
        <w:left w:val="none" w:sz="0" w:space="0" w:color="auto"/>
        <w:bottom w:val="none" w:sz="0" w:space="0" w:color="auto"/>
        <w:right w:val="none" w:sz="0" w:space="0" w:color="auto"/>
      </w:divBdr>
    </w:div>
    <w:div w:id="636108351">
      <w:bodyDiv w:val="1"/>
      <w:marLeft w:val="0"/>
      <w:marRight w:val="0"/>
      <w:marTop w:val="0"/>
      <w:marBottom w:val="0"/>
      <w:divBdr>
        <w:top w:val="none" w:sz="0" w:space="0" w:color="auto"/>
        <w:left w:val="none" w:sz="0" w:space="0" w:color="auto"/>
        <w:bottom w:val="none" w:sz="0" w:space="0" w:color="auto"/>
        <w:right w:val="none" w:sz="0" w:space="0" w:color="auto"/>
      </w:divBdr>
    </w:div>
    <w:div w:id="846023772">
      <w:bodyDiv w:val="1"/>
      <w:marLeft w:val="0"/>
      <w:marRight w:val="0"/>
      <w:marTop w:val="0"/>
      <w:marBottom w:val="0"/>
      <w:divBdr>
        <w:top w:val="none" w:sz="0" w:space="0" w:color="auto"/>
        <w:left w:val="none" w:sz="0" w:space="0" w:color="auto"/>
        <w:bottom w:val="none" w:sz="0" w:space="0" w:color="auto"/>
        <w:right w:val="none" w:sz="0" w:space="0" w:color="auto"/>
      </w:divBdr>
    </w:div>
    <w:div w:id="902639115">
      <w:bodyDiv w:val="1"/>
      <w:marLeft w:val="0"/>
      <w:marRight w:val="0"/>
      <w:marTop w:val="0"/>
      <w:marBottom w:val="0"/>
      <w:divBdr>
        <w:top w:val="none" w:sz="0" w:space="0" w:color="auto"/>
        <w:left w:val="none" w:sz="0" w:space="0" w:color="auto"/>
        <w:bottom w:val="none" w:sz="0" w:space="0" w:color="auto"/>
        <w:right w:val="none" w:sz="0" w:space="0" w:color="auto"/>
      </w:divBdr>
    </w:div>
    <w:div w:id="902721676">
      <w:bodyDiv w:val="1"/>
      <w:marLeft w:val="0"/>
      <w:marRight w:val="0"/>
      <w:marTop w:val="0"/>
      <w:marBottom w:val="0"/>
      <w:divBdr>
        <w:top w:val="none" w:sz="0" w:space="0" w:color="auto"/>
        <w:left w:val="none" w:sz="0" w:space="0" w:color="auto"/>
        <w:bottom w:val="none" w:sz="0" w:space="0" w:color="auto"/>
        <w:right w:val="none" w:sz="0" w:space="0" w:color="auto"/>
      </w:divBdr>
    </w:div>
    <w:div w:id="964700331">
      <w:bodyDiv w:val="1"/>
      <w:marLeft w:val="0"/>
      <w:marRight w:val="0"/>
      <w:marTop w:val="0"/>
      <w:marBottom w:val="0"/>
      <w:divBdr>
        <w:top w:val="none" w:sz="0" w:space="0" w:color="auto"/>
        <w:left w:val="none" w:sz="0" w:space="0" w:color="auto"/>
        <w:bottom w:val="none" w:sz="0" w:space="0" w:color="auto"/>
        <w:right w:val="none" w:sz="0" w:space="0" w:color="auto"/>
      </w:divBdr>
    </w:div>
    <w:div w:id="1112825326">
      <w:bodyDiv w:val="1"/>
      <w:marLeft w:val="0"/>
      <w:marRight w:val="0"/>
      <w:marTop w:val="0"/>
      <w:marBottom w:val="0"/>
      <w:divBdr>
        <w:top w:val="none" w:sz="0" w:space="0" w:color="auto"/>
        <w:left w:val="none" w:sz="0" w:space="0" w:color="auto"/>
        <w:bottom w:val="none" w:sz="0" w:space="0" w:color="auto"/>
        <w:right w:val="none" w:sz="0" w:space="0" w:color="auto"/>
      </w:divBdr>
    </w:div>
    <w:div w:id="1339113762">
      <w:bodyDiv w:val="1"/>
      <w:marLeft w:val="0"/>
      <w:marRight w:val="0"/>
      <w:marTop w:val="0"/>
      <w:marBottom w:val="0"/>
      <w:divBdr>
        <w:top w:val="none" w:sz="0" w:space="0" w:color="auto"/>
        <w:left w:val="none" w:sz="0" w:space="0" w:color="auto"/>
        <w:bottom w:val="none" w:sz="0" w:space="0" w:color="auto"/>
        <w:right w:val="none" w:sz="0" w:space="0" w:color="auto"/>
      </w:divBdr>
    </w:div>
    <w:div w:id="1383871764">
      <w:bodyDiv w:val="1"/>
      <w:marLeft w:val="0"/>
      <w:marRight w:val="0"/>
      <w:marTop w:val="0"/>
      <w:marBottom w:val="0"/>
      <w:divBdr>
        <w:top w:val="none" w:sz="0" w:space="0" w:color="auto"/>
        <w:left w:val="none" w:sz="0" w:space="0" w:color="auto"/>
        <w:bottom w:val="none" w:sz="0" w:space="0" w:color="auto"/>
        <w:right w:val="none" w:sz="0" w:space="0" w:color="auto"/>
      </w:divBdr>
    </w:div>
    <w:div w:id="1495030588">
      <w:bodyDiv w:val="1"/>
      <w:marLeft w:val="0"/>
      <w:marRight w:val="0"/>
      <w:marTop w:val="0"/>
      <w:marBottom w:val="0"/>
      <w:divBdr>
        <w:top w:val="none" w:sz="0" w:space="0" w:color="auto"/>
        <w:left w:val="none" w:sz="0" w:space="0" w:color="auto"/>
        <w:bottom w:val="none" w:sz="0" w:space="0" w:color="auto"/>
        <w:right w:val="none" w:sz="0" w:space="0" w:color="auto"/>
      </w:divBdr>
      <w:divsChild>
        <w:div w:id="225798534">
          <w:marLeft w:val="0"/>
          <w:marRight w:val="0"/>
          <w:marTop w:val="0"/>
          <w:marBottom w:val="0"/>
          <w:divBdr>
            <w:top w:val="none" w:sz="0" w:space="0" w:color="auto"/>
            <w:left w:val="none" w:sz="0" w:space="0" w:color="auto"/>
            <w:bottom w:val="none" w:sz="0" w:space="0" w:color="auto"/>
            <w:right w:val="none" w:sz="0" w:space="0" w:color="auto"/>
          </w:divBdr>
        </w:div>
      </w:divsChild>
    </w:div>
    <w:div w:id="1579361502">
      <w:bodyDiv w:val="1"/>
      <w:marLeft w:val="0"/>
      <w:marRight w:val="0"/>
      <w:marTop w:val="0"/>
      <w:marBottom w:val="0"/>
      <w:divBdr>
        <w:top w:val="none" w:sz="0" w:space="0" w:color="auto"/>
        <w:left w:val="none" w:sz="0" w:space="0" w:color="auto"/>
        <w:bottom w:val="none" w:sz="0" w:space="0" w:color="auto"/>
        <w:right w:val="none" w:sz="0" w:space="0" w:color="auto"/>
      </w:divBdr>
    </w:div>
    <w:div w:id="1631741224">
      <w:bodyDiv w:val="1"/>
      <w:marLeft w:val="0"/>
      <w:marRight w:val="0"/>
      <w:marTop w:val="0"/>
      <w:marBottom w:val="0"/>
      <w:divBdr>
        <w:top w:val="none" w:sz="0" w:space="0" w:color="auto"/>
        <w:left w:val="none" w:sz="0" w:space="0" w:color="auto"/>
        <w:bottom w:val="none" w:sz="0" w:space="0" w:color="auto"/>
        <w:right w:val="none" w:sz="0" w:space="0" w:color="auto"/>
      </w:divBdr>
    </w:div>
    <w:div w:id="2077630252">
      <w:bodyDiv w:val="1"/>
      <w:marLeft w:val="0"/>
      <w:marRight w:val="0"/>
      <w:marTop w:val="0"/>
      <w:marBottom w:val="0"/>
      <w:divBdr>
        <w:top w:val="none" w:sz="0" w:space="0" w:color="auto"/>
        <w:left w:val="none" w:sz="0" w:space="0" w:color="auto"/>
        <w:bottom w:val="none" w:sz="0" w:space="0" w:color="auto"/>
        <w:right w:val="none" w:sz="0" w:space="0" w:color="auto"/>
      </w:divBdr>
    </w:div>
    <w:div w:id="2080906933">
      <w:bodyDiv w:val="1"/>
      <w:marLeft w:val="0"/>
      <w:marRight w:val="0"/>
      <w:marTop w:val="0"/>
      <w:marBottom w:val="0"/>
      <w:divBdr>
        <w:top w:val="none" w:sz="0" w:space="0" w:color="auto"/>
        <w:left w:val="none" w:sz="0" w:space="0" w:color="auto"/>
        <w:bottom w:val="none" w:sz="0" w:space="0" w:color="auto"/>
        <w:right w:val="none" w:sz="0" w:space="0" w:color="auto"/>
      </w:divBdr>
    </w:div>
    <w:div w:id="2087680926">
      <w:bodyDiv w:val="1"/>
      <w:marLeft w:val="0"/>
      <w:marRight w:val="0"/>
      <w:marTop w:val="0"/>
      <w:marBottom w:val="0"/>
      <w:divBdr>
        <w:top w:val="none" w:sz="0" w:space="0" w:color="auto"/>
        <w:left w:val="none" w:sz="0" w:space="0" w:color="auto"/>
        <w:bottom w:val="none" w:sz="0" w:space="0" w:color="auto"/>
        <w:right w:val="none" w:sz="0" w:space="0" w:color="auto"/>
      </w:divBdr>
    </w:div>
    <w:div w:id="2091463151">
      <w:bodyDiv w:val="1"/>
      <w:marLeft w:val="0"/>
      <w:marRight w:val="0"/>
      <w:marTop w:val="0"/>
      <w:marBottom w:val="0"/>
      <w:divBdr>
        <w:top w:val="none" w:sz="0" w:space="0" w:color="auto"/>
        <w:left w:val="none" w:sz="0" w:space="0" w:color="auto"/>
        <w:bottom w:val="none" w:sz="0" w:space="0" w:color="auto"/>
        <w:right w:val="none" w:sz="0" w:space="0" w:color="auto"/>
      </w:divBdr>
      <w:divsChild>
        <w:div w:id="130483814">
          <w:marLeft w:val="0"/>
          <w:marRight w:val="0"/>
          <w:marTop w:val="0"/>
          <w:marBottom w:val="0"/>
          <w:divBdr>
            <w:top w:val="none" w:sz="0" w:space="0" w:color="auto"/>
            <w:left w:val="none" w:sz="0" w:space="0" w:color="auto"/>
            <w:bottom w:val="none" w:sz="0" w:space="0" w:color="auto"/>
            <w:right w:val="none" w:sz="0" w:space="0" w:color="auto"/>
          </w:divBdr>
        </w:div>
      </w:divsChild>
    </w:div>
    <w:div w:id="2093815508">
      <w:bodyDiv w:val="1"/>
      <w:marLeft w:val="0"/>
      <w:marRight w:val="0"/>
      <w:marTop w:val="0"/>
      <w:marBottom w:val="0"/>
      <w:divBdr>
        <w:top w:val="none" w:sz="0" w:space="0" w:color="auto"/>
        <w:left w:val="none" w:sz="0" w:space="0" w:color="auto"/>
        <w:bottom w:val="none" w:sz="0" w:space="0" w:color="auto"/>
        <w:right w:val="none" w:sz="0" w:space="0" w:color="auto"/>
      </w:divBdr>
    </w:div>
    <w:div w:id="2103138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odk2/soubor/mm-28-04e-pravni-vyklad-k-mistnimu-poplatku-za-povoleni-k-vjezdu-s-motorovym-vozidlem-do-vybranych-mist-a-casti-mest-1-1-2024.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vcr.cz/odk2/soubor/mm-28-03e-vzor-ozv-o-mistnim-poplatku-za-povoleni-k-vjezdu-s-motorovym-vozidlem-do-vybranych-mist-a-casti-mest-1-1-2024.aspx" TargetMode="External"/><Relationship Id="rId1" Type="http://schemas.openxmlformats.org/officeDocument/2006/relationships/hyperlink" Target="https://www.mvcr.cz/odk2/clanek/metodicky-material-c-28-stav-k-1-1-2024.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4CE5-DE43-4EE8-BDD3-4AAB228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15</Pages>
  <Words>6100</Words>
  <Characters>35993</Characters>
  <Application>Microsoft Office Word</Application>
  <DocSecurity>0</DocSecurity>
  <Lines>299</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42009</CharactersWithSpaces>
  <SharedDoc>false</SharedDoc>
  <HLinks>
    <vt:vector size="12" baseType="variant">
      <vt:variant>
        <vt:i4>131148</vt:i4>
      </vt:variant>
      <vt:variant>
        <vt:i4>3</vt:i4>
      </vt:variant>
      <vt:variant>
        <vt:i4>0</vt:i4>
      </vt:variant>
      <vt:variant>
        <vt:i4>5</vt:i4>
      </vt:variant>
      <vt:variant>
        <vt:lpwstr>https://www.mvcr.cz/odk2/soubor/mm-28-03e-vzor-ozv-o-mistnim-poplatku-za-povoleni-k-vjezdu-s-motorovym-vozidlem-do-vybranych-mist-a-casti-mest-1-1-2024.aspx</vt:lpwstr>
      </vt:variant>
      <vt:variant>
        <vt:lpwstr/>
      </vt:variant>
      <vt:variant>
        <vt:i4>655370</vt:i4>
      </vt:variant>
      <vt:variant>
        <vt:i4>0</vt:i4>
      </vt:variant>
      <vt:variant>
        <vt:i4>0</vt:i4>
      </vt:variant>
      <vt:variant>
        <vt:i4>5</vt:i4>
      </vt:variant>
      <vt:variant>
        <vt:lpwstr>https://www.mvcr.cz/odk2/clanek/metodicky-material-c-28-stav-k-1-1-2024.aspx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Páleníček z KROUPAHELÁN</dc:creator>
  <cp:keywords/>
  <dc:description/>
  <cp:lastModifiedBy>Hřib Zdeněk (ZHMP)</cp:lastModifiedBy>
  <cp:revision>13</cp:revision>
  <dcterms:created xsi:type="dcterms:W3CDTF">2023-11-16T16:17:00Z</dcterms:created>
  <dcterms:modified xsi:type="dcterms:W3CDTF">2023-11-18T11:42:00Z</dcterms:modified>
</cp:coreProperties>
</file>