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0D13" w14:textId="77777777" w:rsidR="006A6007" w:rsidRPr="006A5D66" w:rsidRDefault="006A6007" w:rsidP="006A600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Segoe UI" w:hAnsi="Segoe UI" w:cs="Segoe UI"/>
          <w:b/>
          <w:color w:val="000000"/>
          <w:sz w:val="23"/>
          <w:szCs w:val="23"/>
        </w:rPr>
      </w:pPr>
      <w:r w:rsidRPr="006A5D66">
        <w:rPr>
          <w:rFonts w:ascii="Segoe UI" w:hAnsi="Segoe UI" w:cs="Segoe UI"/>
          <w:b/>
          <w:color w:val="000000"/>
          <w:sz w:val="23"/>
          <w:szCs w:val="23"/>
        </w:rPr>
        <w:t>Digitální automatické spřáhlo</w:t>
      </w:r>
    </w:p>
    <w:p w14:paraId="12167230" w14:textId="62351A7F" w:rsidR="006A6007" w:rsidRDefault="006A6007" w:rsidP="006A600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Segoe UI" w:hAnsi="Segoe UI" w:cs="Segoe UI"/>
          <w:color w:val="000000"/>
          <w:sz w:val="23"/>
          <w:szCs w:val="23"/>
        </w:rPr>
      </w:pPr>
      <w:r w:rsidRPr="006A5D66">
        <w:rPr>
          <w:rFonts w:ascii="Segoe UI" w:hAnsi="Segoe UI" w:cs="Segoe UI"/>
          <w:color w:val="000000"/>
          <w:sz w:val="23"/>
          <w:szCs w:val="23"/>
        </w:rPr>
        <w:t>(dále též jen jako „DAS“)</w:t>
      </w:r>
    </w:p>
    <w:p w14:paraId="2A4652EE" w14:textId="66E8314D" w:rsidR="00664844" w:rsidRDefault="00664844" w:rsidP="006A600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Segoe UI" w:hAnsi="Segoe UI" w:cs="Segoe UI"/>
          <w:color w:val="000000"/>
          <w:sz w:val="23"/>
          <w:szCs w:val="23"/>
        </w:rPr>
      </w:pPr>
    </w:p>
    <w:p w14:paraId="74B843B1" w14:textId="1364E765" w:rsidR="00664844" w:rsidRDefault="00664844" w:rsidP="006A600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Právní stanovisko ŽESNAD.CZ:  </w:t>
      </w:r>
    </w:p>
    <w:p w14:paraId="02275E94" w14:textId="77777777" w:rsidR="006A5D66" w:rsidRDefault="006A5D66" w:rsidP="006A600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Segoe UI" w:hAnsi="Segoe UI" w:cs="Segoe UI"/>
          <w:color w:val="000000"/>
          <w:sz w:val="23"/>
          <w:szCs w:val="23"/>
        </w:rPr>
      </w:pPr>
    </w:p>
    <w:p w14:paraId="195699DE" w14:textId="318F5177" w:rsidR="00664844" w:rsidRPr="00664844" w:rsidRDefault="006A5D66" w:rsidP="0066484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S ohledem na skutečnosti, sdělené během jednání k DAS dne 13. května 2022</w:t>
      </w:r>
      <w:r w:rsidR="00664844">
        <w:rPr>
          <w:rFonts w:ascii="Segoe UI" w:hAnsi="Segoe UI" w:cs="Segoe UI"/>
          <w:color w:val="000000"/>
          <w:sz w:val="23"/>
          <w:szCs w:val="23"/>
        </w:rPr>
        <w:t xml:space="preserve"> na půdě MD ČR p. </w:t>
      </w:r>
      <w:proofErr w:type="gramStart"/>
      <w:r w:rsidR="00664844">
        <w:rPr>
          <w:rFonts w:ascii="Segoe UI" w:hAnsi="Segoe UI" w:cs="Segoe UI"/>
          <w:color w:val="000000"/>
          <w:sz w:val="23"/>
          <w:szCs w:val="23"/>
        </w:rPr>
        <w:t>ing.</w:t>
      </w:r>
      <w:proofErr w:type="gramEnd"/>
      <w:r w:rsidR="00664844">
        <w:rPr>
          <w:rFonts w:ascii="Segoe UI" w:hAnsi="Segoe UI" w:cs="Segoe UI"/>
          <w:color w:val="000000"/>
          <w:sz w:val="23"/>
          <w:szCs w:val="23"/>
        </w:rPr>
        <w:t xml:space="preserve"> Liborem Lochmanem</w:t>
      </w:r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r w:rsidR="00664844">
        <w:rPr>
          <w:rFonts w:ascii="Segoe UI" w:hAnsi="Segoe UI" w:cs="Segoe UI"/>
          <w:color w:val="000000"/>
          <w:sz w:val="23"/>
          <w:szCs w:val="23"/>
        </w:rPr>
        <w:t xml:space="preserve">označujícím se za </w:t>
      </w:r>
      <w:r w:rsidR="00664844" w:rsidRPr="00664844">
        <w:rPr>
          <w:rFonts w:ascii="Segoe UI" w:hAnsi="Segoe UI" w:cs="Segoe UI"/>
          <w:b/>
          <w:bCs/>
          <w:color w:val="000000"/>
          <w:sz w:val="23"/>
          <w:szCs w:val="23"/>
          <w:lang w:val="en-US"/>
        </w:rPr>
        <w:t xml:space="preserve">CEE/SEE EDDP </w:t>
      </w:r>
      <w:proofErr w:type="spellStart"/>
      <w:r w:rsidR="00664844" w:rsidRPr="00664844">
        <w:rPr>
          <w:rFonts w:ascii="Segoe UI" w:hAnsi="Segoe UI" w:cs="Segoe UI"/>
          <w:b/>
          <w:bCs/>
          <w:color w:val="000000"/>
          <w:sz w:val="23"/>
          <w:szCs w:val="23"/>
          <w:lang w:val="en-US"/>
        </w:rPr>
        <w:t>Ambassador</w:t>
      </w:r>
      <w:r w:rsidR="00664844">
        <w:rPr>
          <w:rFonts w:ascii="Segoe UI" w:hAnsi="Segoe UI" w:cs="Segoe UI"/>
          <w:b/>
          <w:bCs/>
          <w:color w:val="000000"/>
          <w:sz w:val="23"/>
          <w:szCs w:val="23"/>
          <w:lang w:val="en-US"/>
        </w:rPr>
        <w:t>a</w:t>
      </w:r>
      <w:proofErr w:type="spellEnd"/>
      <w:r w:rsidR="00664844">
        <w:rPr>
          <w:rFonts w:ascii="Segoe UI" w:hAnsi="Segoe UI" w:cs="Segoe UI"/>
          <w:b/>
          <w:bCs/>
          <w:color w:val="000000"/>
          <w:sz w:val="23"/>
          <w:szCs w:val="23"/>
          <w:lang w:val="en-US"/>
        </w:rPr>
        <w:t xml:space="preserve">, </w:t>
      </w:r>
    </w:p>
    <w:p w14:paraId="3B63FDA7" w14:textId="2A598748" w:rsidR="006A5D66" w:rsidRPr="006A5D66" w:rsidRDefault="006A5D66" w:rsidP="006A5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považujem</w:t>
      </w:r>
      <w:r w:rsidR="00B359E4">
        <w:rPr>
          <w:rFonts w:ascii="Segoe UI" w:hAnsi="Segoe UI" w:cs="Segoe UI"/>
          <w:color w:val="000000"/>
          <w:sz w:val="23"/>
          <w:szCs w:val="23"/>
        </w:rPr>
        <w:t>e za důležité upozornit v tuto chvíli</w:t>
      </w:r>
      <w:r>
        <w:rPr>
          <w:rFonts w:ascii="Segoe UI" w:hAnsi="Segoe UI" w:cs="Segoe UI"/>
          <w:color w:val="000000"/>
          <w:sz w:val="23"/>
          <w:szCs w:val="23"/>
        </w:rPr>
        <w:t xml:space="preserve"> alespoň na tyto </w:t>
      </w:r>
      <w:r w:rsidR="003642BC">
        <w:rPr>
          <w:rFonts w:ascii="Segoe UI" w:hAnsi="Segoe UI" w:cs="Segoe UI"/>
          <w:color w:val="000000"/>
          <w:sz w:val="23"/>
          <w:szCs w:val="23"/>
        </w:rPr>
        <w:t xml:space="preserve">zejména právní </w:t>
      </w:r>
      <w:r>
        <w:rPr>
          <w:rFonts w:ascii="Segoe UI" w:hAnsi="Segoe UI" w:cs="Segoe UI"/>
          <w:color w:val="000000"/>
          <w:sz w:val="23"/>
          <w:szCs w:val="23"/>
        </w:rPr>
        <w:t>aspekty celého projektu:</w:t>
      </w:r>
    </w:p>
    <w:p w14:paraId="0606B7C1" w14:textId="77777777" w:rsidR="006A6007" w:rsidRPr="006A5D66" w:rsidRDefault="006A6007" w:rsidP="006A600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Segoe UI" w:hAnsi="Segoe UI" w:cs="Segoe UI"/>
          <w:color w:val="000000"/>
          <w:sz w:val="23"/>
          <w:szCs w:val="23"/>
          <w:u w:val="single"/>
        </w:rPr>
      </w:pPr>
    </w:p>
    <w:p w14:paraId="4AC4278D" w14:textId="43623AF0" w:rsidR="006A6007" w:rsidRPr="006A5D66" w:rsidRDefault="006A6007" w:rsidP="006A60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3"/>
          <w:szCs w:val="23"/>
          <w:u w:val="single"/>
        </w:rPr>
      </w:pPr>
      <w:r w:rsidRPr="006A5D66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Financování </w:t>
      </w:r>
      <w:r w:rsidR="00881CE2" w:rsidRPr="006A5D66">
        <w:rPr>
          <w:rFonts w:ascii="Segoe UI" w:hAnsi="Segoe UI" w:cs="Segoe UI"/>
          <w:b/>
          <w:color w:val="000000"/>
          <w:sz w:val="23"/>
          <w:szCs w:val="23"/>
          <w:u w:val="single"/>
        </w:rPr>
        <w:t>DAS</w:t>
      </w:r>
      <w:r w:rsidR="00886AED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 a netarifní překážka obchodu</w:t>
      </w:r>
      <w:r w:rsidR="004C6BC7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 a ochrana </w:t>
      </w:r>
      <w:proofErr w:type="spellStart"/>
      <w:r w:rsidR="004C6BC7">
        <w:rPr>
          <w:rFonts w:ascii="Segoe UI" w:hAnsi="Segoe UI" w:cs="Segoe UI"/>
          <w:b/>
          <w:color w:val="000000"/>
          <w:sz w:val="23"/>
          <w:szCs w:val="23"/>
          <w:u w:val="single"/>
        </w:rPr>
        <w:t>hosp</w:t>
      </w:r>
      <w:proofErr w:type="spellEnd"/>
      <w:r w:rsidR="004C6BC7">
        <w:rPr>
          <w:rFonts w:ascii="Segoe UI" w:hAnsi="Segoe UI" w:cs="Segoe UI"/>
          <w:b/>
          <w:color w:val="000000"/>
          <w:sz w:val="23"/>
          <w:szCs w:val="23"/>
          <w:u w:val="single"/>
        </w:rPr>
        <w:t>. soutěže</w:t>
      </w:r>
    </w:p>
    <w:p w14:paraId="622E2E27" w14:textId="77777777" w:rsidR="00881CE2" w:rsidRPr="006A5D66" w:rsidRDefault="00881CE2" w:rsidP="00881CE2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color w:val="000000"/>
          <w:sz w:val="23"/>
          <w:szCs w:val="23"/>
        </w:rPr>
      </w:pPr>
    </w:p>
    <w:p w14:paraId="76AF6045" w14:textId="1DBDEC95" w:rsidR="003642BC" w:rsidRDefault="00C507D9" w:rsidP="00207F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3"/>
          <w:szCs w:val="23"/>
        </w:rPr>
      </w:pPr>
      <w:r w:rsidRPr="004C6BC7">
        <w:rPr>
          <w:rFonts w:ascii="Segoe UI" w:hAnsi="Segoe UI" w:cs="Segoe UI"/>
          <w:color w:val="000000"/>
          <w:sz w:val="23"/>
          <w:szCs w:val="23"/>
        </w:rPr>
        <w:t xml:space="preserve">Jedním z deklarovaných cílů zavádění DAS je zvýšeni konkurenceschopnosti železniční nákladní dopravy oproti silniční nákladní dopravě. </w:t>
      </w:r>
    </w:p>
    <w:p w14:paraId="1A29D896" w14:textId="77777777" w:rsidR="004C6BC7" w:rsidRPr="004C6BC7" w:rsidRDefault="004C6BC7" w:rsidP="004C6B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3F86ADDA" w14:textId="77777777" w:rsidR="004C6BC7" w:rsidRPr="004C6BC7" w:rsidRDefault="00FD653D" w:rsidP="00CC09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4C6BC7">
        <w:rPr>
          <w:rFonts w:ascii="Segoe UI" w:hAnsi="Segoe UI" w:cs="Segoe UI"/>
          <w:b/>
          <w:color w:val="000000"/>
          <w:sz w:val="23"/>
          <w:szCs w:val="23"/>
        </w:rPr>
        <w:t>Náklady na z</w:t>
      </w:r>
      <w:r w:rsidR="00C507D9" w:rsidRPr="004C6BC7">
        <w:rPr>
          <w:rFonts w:ascii="Segoe UI" w:hAnsi="Segoe UI" w:cs="Segoe UI"/>
          <w:b/>
          <w:color w:val="000000"/>
          <w:sz w:val="23"/>
          <w:szCs w:val="23"/>
        </w:rPr>
        <w:t xml:space="preserve">avádění systému DAS tedy </w:t>
      </w:r>
      <w:r w:rsidRPr="004C6BC7">
        <w:rPr>
          <w:rFonts w:ascii="Segoe UI" w:hAnsi="Segoe UI" w:cs="Segoe UI"/>
          <w:b/>
          <w:color w:val="000000"/>
          <w:sz w:val="23"/>
          <w:szCs w:val="23"/>
        </w:rPr>
        <w:t xml:space="preserve">nebude možné </w:t>
      </w:r>
      <w:r w:rsidR="006A5D66" w:rsidRPr="004C6BC7">
        <w:rPr>
          <w:rFonts w:ascii="Segoe UI" w:hAnsi="Segoe UI" w:cs="Segoe UI"/>
          <w:b/>
          <w:color w:val="000000"/>
          <w:sz w:val="23"/>
          <w:szCs w:val="23"/>
        </w:rPr>
        <w:t xml:space="preserve">v konečném důsledku </w:t>
      </w:r>
      <w:r w:rsidRPr="004C6BC7">
        <w:rPr>
          <w:rFonts w:ascii="Segoe UI" w:hAnsi="Segoe UI" w:cs="Segoe UI"/>
          <w:b/>
          <w:color w:val="000000"/>
          <w:sz w:val="23"/>
          <w:szCs w:val="23"/>
        </w:rPr>
        <w:t>promítat</w:t>
      </w:r>
      <w:r w:rsidR="00C507D9" w:rsidRPr="004C6BC7">
        <w:rPr>
          <w:rFonts w:ascii="Segoe UI" w:hAnsi="Segoe UI" w:cs="Segoe UI"/>
          <w:b/>
          <w:color w:val="000000"/>
          <w:sz w:val="23"/>
          <w:szCs w:val="23"/>
        </w:rPr>
        <w:t xml:space="preserve"> do ceny</w:t>
      </w:r>
      <w:r w:rsidR="006A5D66" w:rsidRPr="004C6BC7">
        <w:rPr>
          <w:rFonts w:ascii="Segoe UI" w:hAnsi="Segoe UI" w:cs="Segoe UI"/>
          <w:b/>
          <w:color w:val="000000"/>
          <w:sz w:val="23"/>
          <w:szCs w:val="23"/>
        </w:rPr>
        <w:t xml:space="preserve"> přepravních služeb</w:t>
      </w:r>
      <w:r w:rsidRPr="004C6BC7">
        <w:rPr>
          <w:rFonts w:ascii="Segoe UI" w:hAnsi="Segoe UI" w:cs="Segoe UI"/>
          <w:b/>
          <w:color w:val="000000"/>
          <w:sz w:val="23"/>
          <w:szCs w:val="23"/>
        </w:rPr>
        <w:t>.</w:t>
      </w:r>
      <w:r w:rsidRPr="004C6BC7">
        <w:rPr>
          <w:rFonts w:ascii="Segoe UI" w:hAnsi="Segoe UI" w:cs="Segoe UI"/>
          <w:color w:val="000000"/>
          <w:sz w:val="23"/>
          <w:szCs w:val="23"/>
        </w:rPr>
        <w:t xml:space="preserve"> Uvedené v zásadě znamená, že to nebudou moci být železniční dopravci, kdo ponese náklady na zavádění systému DAS</w:t>
      </w:r>
      <w:r w:rsidR="003642BC" w:rsidRPr="004C6BC7">
        <w:rPr>
          <w:rFonts w:ascii="Segoe UI" w:hAnsi="Segoe UI" w:cs="Segoe UI"/>
          <w:color w:val="000000"/>
          <w:sz w:val="23"/>
          <w:szCs w:val="23"/>
        </w:rPr>
        <w:t xml:space="preserve">, nýbrž v zásadě EU. </w:t>
      </w:r>
      <w:r w:rsidRPr="004C6BC7">
        <w:rPr>
          <w:rFonts w:ascii="Segoe UI" w:hAnsi="Segoe UI" w:cs="Segoe UI"/>
          <w:color w:val="000000"/>
          <w:sz w:val="23"/>
          <w:szCs w:val="23"/>
        </w:rPr>
        <w:t xml:space="preserve"> </w:t>
      </w:r>
    </w:p>
    <w:p w14:paraId="2CC86082" w14:textId="77777777" w:rsidR="004C6BC7" w:rsidRPr="004C6BC7" w:rsidRDefault="004C6BC7" w:rsidP="004C6BC7">
      <w:pPr>
        <w:pStyle w:val="Odstavecseseznamem"/>
        <w:rPr>
          <w:rFonts w:ascii="Segoe UI" w:hAnsi="Segoe UI" w:cs="Segoe UI"/>
          <w:color w:val="000000"/>
          <w:sz w:val="23"/>
          <w:szCs w:val="23"/>
        </w:rPr>
      </w:pPr>
    </w:p>
    <w:p w14:paraId="0BE0111A" w14:textId="6585226D" w:rsidR="003642BC" w:rsidRPr="004C6BC7" w:rsidRDefault="003642BC" w:rsidP="00CC09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4C6BC7">
        <w:rPr>
          <w:rFonts w:ascii="Segoe UI" w:hAnsi="Segoe UI" w:cs="Segoe UI"/>
          <w:color w:val="000000"/>
          <w:sz w:val="23"/>
          <w:szCs w:val="23"/>
        </w:rPr>
        <w:t>Tato p</w:t>
      </w:r>
      <w:r w:rsidR="003273A1" w:rsidRPr="004C6BC7">
        <w:rPr>
          <w:rFonts w:ascii="Segoe UI" w:hAnsi="Segoe UI" w:cs="Segoe UI"/>
          <w:color w:val="000000"/>
          <w:sz w:val="23"/>
          <w:szCs w:val="23"/>
        </w:rPr>
        <w:t xml:space="preserve">odpora EU nesmí být ovšem </w:t>
      </w:r>
      <w:r w:rsidRPr="004C6BC7">
        <w:rPr>
          <w:rFonts w:ascii="Segoe UI" w:hAnsi="Segoe UI" w:cs="Segoe UI"/>
          <w:color w:val="000000"/>
          <w:sz w:val="23"/>
          <w:szCs w:val="23"/>
        </w:rPr>
        <w:t xml:space="preserve">v rozporu s čl. </w:t>
      </w:r>
      <w:r w:rsidR="003273A1" w:rsidRPr="004C6BC7">
        <w:rPr>
          <w:rFonts w:ascii="Segoe UI" w:hAnsi="Segoe UI" w:cs="Segoe UI"/>
          <w:color w:val="000000"/>
          <w:sz w:val="23"/>
          <w:szCs w:val="23"/>
        </w:rPr>
        <w:t>107 SFEU</w:t>
      </w:r>
      <w:r w:rsidRPr="004C6BC7">
        <w:rPr>
          <w:rFonts w:ascii="Segoe UI" w:hAnsi="Segoe UI" w:cs="Segoe UI"/>
          <w:color w:val="000000"/>
          <w:sz w:val="23"/>
          <w:szCs w:val="23"/>
        </w:rPr>
        <w:t xml:space="preserve"> (smlouvy o fungování EU)</w:t>
      </w:r>
    </w:p>
    <w:p w14:paraId="2DFCC061" w14:textId="77777777" w:rsidR="003642BC" w:rsidRPr="003642BC" w:rsidRDefault="003642BC" w:rsidP="003642BC">
      <w:pPr>
        <w:pStyle w:val="Odstavecseseznamem"/>
        <w:rPr>
          <w:rFonts w:ascii="Segoe UI" w:hAnsi="Segoe UI" w:cs="Segoe UI"/>
          <w:color w:val="000000"/>
          <w:sz w:val="23"/>
          <w:szCs w:val="23"/>
        </w:rPr>
      </w:pPr>
    </w:p>
    <w:p w14:paraId="79AC7639" w14:textId="77777777" w:rsidR="003642BC" w:rsidRDefault="006A5D66" w:rsidP="00F45FE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3642BC">
        <w:rPr>
          <w:rFonts w:ascii="Segoe UI" w:hAnsi="Segoe UI" w:cs="Segoe UI"/>
          <w:color w:val="000000"/>
          <w:sz w:val="23"/>
          <w:szCs w:val="23"/>
        </w:rPr>
        <w:t xml:space="preserve">Je to tedy </w:t>
      </w:r>
      <w:r w:rsidRPr="003642BC">
        <w:rPr>
          <w:rFonts w:ascii="Segoe UI" w:hAnsi="Segoe UI" w:cs="Segoe UI"/>
          <w:b/>
          <w:color w:val="000000"/>
          <w:sz w:val="23"/>
          <w:szCs w:val="23"/>
        </w:rPr>
        <w:t>EU, kdo bude muset vytvořit příslušný dotační titul a alokovat odpovídající zdroje</w:t>
      </w:r>
      <w:r w:rsidR="003273A1" w:rsidRPr="003642BC">
        <w:rPr>
          <w:rFonts w:ascii="Segoe UI" w:hAnsi="Segoe UI" w:cs="Segoe UI"/>
          <w:b/>
          <w:color w:val="000000"/>
          <w:sz w:val="23"/>
          <w:szCs w:val="23"/>
        </w:rPr>
        <w:t>, za podmínky, že takový dotační titul nebude v rozporu s unijním právem</w:t>
      </w:r>
      <w:r w:rsidRPr="003642BC">
        <w:rPr>
          <w:rFonts w:ascii="Segoe UI" w:hAnsi="Segoe UI" w:cs="Segoe UI"/>
          <w:b/>
          <w:color w:val="000000"/>
          <w:sz w:val="23"/>
          <w:szCs w:val="23"/>
        </w:rPr>
        <w:t xml:space="preserve">. </w:t>
      </w:r>
    </w:p>
    <w:p w14:paraId="68406336" w14:textId="77777777" w:rsidR="003642BC" w:rsidRPr="003642BC" w:rsidRDefault="003642BC" w:rsidP="003642BC">
      <w:pPr>
        <w:pStyle w:val="Odstavecseseznamem"/>
        <w:rPr>
          <w:rFonts w:ascii="Segoe UI" w:hAnsi="Segoe UI" w:cs="Segoe UI"/>
          <w:color w:val="000000"/>
          <w:sz w:val="23"/>
          <w:szCs w:val="23"/>
        </w:rPr>
      </w:pPr>
    </w:p>
    <w:p w14:paraId="3F861985" w14:textId="77777777" w:rsidR="003642BC" w:rsidRPr="003642BC" w:rsidRDefault="00886AED" w:rsidP="00F45FE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3642BC">
        <w:rPr>
          <w:rFonts w:ascii="Segoe UI" w:hAnsi="Segoe UI" w:cs="Segoe UI"/>
          <w:color w:val="000000"/>
          <w:sz w:val="23"/>
          <w:szCs w:val="23"/>
        </w:rPr>
        <w:t xml:space="preserve">TSI mají podle odst. 10 </w:t>
      </w:r>
      <w:r w:rsidR="00B2527F" w:rsidRPr="003642BC">
        <w:rPr>
          <w:rFonts w:ascii="Segoe UI" w:hAnsi="Segoe UI" w:cs="Segoe UI"/>
          <w:color w:val="000000"/>
          <w:sz w:val="23"/>
          <w:szCs w:val="23"/>
        </w:rPr>
        <w:t xml:space="preserve">preambule </w:t>
      </w:r>
      <w:r w:rsidRPr="003642BC">
        <w:rPr>
          <w:rFonts w:ascii="Segoe UI" w:hAnsi="Segoe UI" w:cs="Segoe UI"/>
          <w:bCs/>
          <w:color w:val="000000"/>
          <w:sz w:val="23"/>
          <w:szCs w:val="23"/>
        </w:rPr>
        <w:t xml:space="preserve">směrnice EP a Rady 2016/797 o interoperabilitě železničního systému v EU (dále též jen jako „IOP směrnice“) posilovat konkurenceschopnost železniční dopravy otevřeným a konkurenceschopným trhem. </w:t>
      </w:r>
    </w:p>
    <w:p w14:paraId="168DCB40" w14:textId="77777777" w:rsidR="003642BC" w:rsidRPr="003642BC" w:rsidRDefault="003642BC" w:rsidP="003642BC">
      <w:pPr>
        <w:pStyle w:val="Odstavecseseznamem"/>
        <w:rPr>
          <w:rFonts w:ascii="Segoe UI" w:hAnsi="Segoe UI" w:cs="Segoe UI"/>
          <w:bCs/>
          <w:color w:val="000000"/>
          <w:sz w:val="23"/>
          <w:szCs w:val="23"/>
        </w:rPr>
      </w:pPr>
    </w:p>
    <w:p w14:paraId="1A269482" w14:textId="77777777" w:rsidR="004C6BC7" w:rsidRPr="004C6BC7" w:rsidRDefault="003642BC" w:rsidP="00F757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3"/>
          <w:szCs w:val="23"/>
        </w:rPr>
      </w:pPr>
      <w:r w:rsidRPr="004C6BC7">
        <w:rPr>
          <w:rFonts w:ascii="Segoe UI" w:hAnsi="Segoe UI" w:cs="Segoe UI"/>
          <w:bCs/>
          <w:color w:val="000000"/>
          <w:sz w:val="23"/>
          <w:szCs w:val="23"/>
        </w:rPr>
        <w:t>Případná ú</w:t>
      </w:r>
      <w:r w:rsidR="0070471F" w:rsidRPr="004C6BC7">
        <w:rPr>
          <w:rFonts w:ascii="Segoe UI" w:hAnsi="Segoe UI" w:cs="Segoe UI"/>
          <w:b/>
          <w:bCs/>
          <w:color w:val="000000"/>
          <w:sz w:val="23"/>
          <w:szCs w:val="23"/>
        </w:rPr>
        <w:t>prava DAS v TSI tedy zejména nesmí představovat riziko snížení konkurenceschopnosti železniční nákladní dopravy oproti silniční nákladní dopravě, a to ani zvýšením nákladů na instalaci DAS</w:t>
      </w:r>
      <w:r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 a </w:t>
      </w:r>
      <w:r w:rsidR="00D07ACB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jeho </w:t>
      </w:r>
      <w:r w:rsidRPr="004C6BC7">
        <w:rPr>
          <w:rFonts w:ascii="Segoe UI" w:hAnsi="Segoe UI" w:cs="Segoe UI"/>
          <w:b/>
          <w:bCs/>
          <w:color w:val="000000"/>
          <w:sz w:val="23"/>
          <w:szCs w:val="23"/>
        </w:rPr>
        <w:t>provoz</w:t>
      </w:r>
      <w:r w:rsidR="00D07ACB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, ani nekompatibilitou vozového parku či snížením již dosažené současné kompatibility </w:t>
      </w:r>
      <w:r w:rsidR="00B21197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spřáhlového a narážecího ústrojí koncepce </w:t>
      </w:r>
      <w:r w:rsidR="00D07ACB" w:rsidRPr="004C6BC7">
        <w:rPr>
          <w:rFonts w:ascii="Segoe UI" w:hAnsi="Segoe UI" w:cs="Segoe UI"/>
          <w:b/>
          <w:bCs/>
          <w:color w:val="000000"/>
          <w:sz w:val="23"/>
          <w:szCs w:val="23"/>
        </w:rPr>
        <w:t>hák-</w:t>
      </w:r>
      <w:proofErr w:type="spellStart"/>
      <w:r w:rsidR="00D07ACB" w:rsidRPr="004C6BC7">
        <w:rPr>
          <w:rFonts w:ascii="Segoe UI" w:hAnsi="Segoe UI" w:cs="Segoe UI"/>
          <w:b/>
          <w:bCs/>
          <w:color w:val="000000"/>
          <w:sz w:val="23"/>
          <w:szCs w:val="23"/>
        </w:rPr>
        <w:t>šroubovka</w:t>
      </w:r>
      <w:proofErr w:type="spellEnd"/>
      <w:r w:rsidR="00D07ACB" w:rsidRPr="004C6BC7">
        <w:rPr>
          <w:rFonts w:ascii="Segoe UI" w:hAnsi="Segoe UI" w:cs="Segoe UI"/>
          <w:b/>
          <w:bCs/>
          <w:color w:val="000000"/>
          <w:sz w:val="23"/>
          <w:szCs w:val="23"/>
        </w:rPr>
        <w:t>-nárazníky</w:t>
      </w:r>
      <w:r w:rsidR="0070471F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. </w:t>
      </w:r>
    </w:p>
    <w:p w14:paraId="551BF087" w14:textId="77777777" w:rsidR="004C6BC7" w:rsidRPr="004C6BC7" w:rsidRDefault="004C6BC7" w:rsidP="004C6BC7">
      <w:pPr>
        <w:pStyle w:val="Odstavecseseznamem"/>
        <w:rPr>
          <w:rFonts w:ascii="Segoe UI" w:hAnsi="Segoe UI" w:cs="Segoe UI"/>
          <w:color w:val="000000"/>
          <w:sz w:val="23"/>
          <w:szCs w:val="23"/>
        </w:rPr>
      </w:pPr>
    </w:p>
    <w:p w14:paraId="3C50E692" w14:textId="73F32E14" w:rsidR="00886AED" w:rsidRPr="004C6BC7" w:rsidRDefault="00EF5543" w:rsidP="00F757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u w:val="single"/>
        </w:rPr>
        <w:t>Z o</w:t>
      </w:r>
      <w:r w:rsidR="00886AED" w:rsidRPr="004C6BC7">
        <w:rPr>
          <w:rFonts w:ascii="Segoe UI" w:hAnsi="Segoe UI" w:cs="Segoe UI"/>
          <w:color w:val="000000"/>
          <w:sz w:val="23"/>
          <w:szCs w:val="23"/>
          <w:u w:val="single"/>
        </w:rPr>
        <w:t>dst. 13 preambule IOP směrnice</w:t>
      </w:r>
      <w:r>
        <w:rPr>
          <w:rFonts w:ascii="Segoe UI" w:hAnsi="Segoe UI" w:cs="Segoe UI"/>
          <w:color w:val="000000"/>
          <w:sz w:val="23"/>
          <w:szCs w:val="23"/>
          <w:u w:val="single"/>
        </w:rPr>
        <w:t xml:space="preserve"> jako závazného výkladového pravidla se </w:t>
      </w:r>
      <w:proofErr w:type="gramStart"/>
      <w:r>
        <w:rPr>
          <w:rFonts w:ascii="Segoe UI" w:hAnsi="Segoe UI" w:cs="Segoe UI"/>
          <w:color w:val="000000"/>
          <w:sz w:val="23"/>
          <w:szCs w:val="23"/>
          <w:u w:val="single"/>
        </w:rPr>
        <w:t xml:space="preserve">podává, </w:t>
      </w:r>
      <w:r w:rsidR="00886AED" w:rsidRPr="004C6BC7">
        <w:rPr>
          <w:rFonts w:ascii="Segoe UI" w:hAnsi="Segoe UI" w:cs="Segoe UI"/>
          <w:color w:val="000000"/>
          <w:sz w:val="23"/>
          <w:szCs w:val="23"/>
          <w:u w:val="single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u w:val="single"/>
        </w:rPr>
        <w:t>že</w:t>
      </w:r>
      <w:proofErr w:type="gramEnd"/>
      <w:r>
        <w:rPr>
          <w:rFonts w:ascii="Segoe UI" w:hAnsi="Segoe UI" w:cs="Segoe UI"/>
          <w:color w:val="000000"/>
          <w:sz w:val="23"/>
          <w:szCs w:val="23"/>
          <w:u w:val="single"/>
        </w:rPr>
        <w:t xml:space="preserve"> z</w:t>
      </w:r>
      <w:r w:rsidR="0070471F" w:rsidRPr="004C6BC7">
        <w:rPr>
          <w:rFonts w:ascii="Segoe UI" w:hAnsi="Segoe UI" w:cs="Segoe UI"/>
          <w:color w:val="000000"/>
          <w:sz w:val="23"/>
          <w:szCs w:val="23"/>
          <w:u w:val="single"/>
        </w:rPr>
        <w:t>avádění DAS se nesmí stát faktickým nástrojem narušení hospodářské soutěže</w:t>
      </w:r>
      <w:r w:rsidR="0070471F" w:rsidRPr="004C6BC7">
        <w:rPr>
          <w:rFonts w:ascii="Segoe UI" w:hAnsi="Segoe UI" w:cs="Segoe UI"/>
          <w:color w:val="000000"/>
          <w:sz w:val="23"/>
          <w:szCs w:val="23"/>
        </w:rPr>
        <w:t>, zejména ne cestou eliminace účastníků hospodářské soutěže (zejména malých a středních železničních podniků), pro které by DAS představovalo takovou zátěž, že by byly nuceny soutěž opustit</w:t>
      </w:r>
      <w:r w:rsidR="002050F1" w:rsidRPr="004C6BC7">
        <w:rPr>
          <w:rFonts w:ascii="Segoe UI" w:hAnsi="Segoe UI" w:cs="Segoe UI"/>
          <w:color w:val="000000"/>
          <w:sz w:val="23"/>
          <w:szCs w:val="23"/>
        </w:rPr>
        <w:t>, nebo by je zavádění DAS v soutěži znevýhodnilo</w:t>
      </w:r>
      <w:r w:rsidR="0070471F" w:rsidRPr="004C6BC7">
        <w:rPr>
          <w:rFonts w:ascii="Segoe UI" w:hAnsi="Segoe UI" w:cs="Segoe UI"/>
          <w:color w:val="000000"/>
          <w:sz w:val="23"/>
          <w:szCs w:val="23"/>
        </w:rPr>
        <w:t xml:space="preserve">. </w:t>
      </w:r>
    </w:p>
    <w:p w14:paraId="06AA52FF" w14:textId="77777777" w:rsidR="00886AED" w:rsidRDefault="00886AED" w:rsidP="00886AE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b/>
          <w:color w:val="000000"/>
          <w:sz w:val="23"/>
          <w:szCs w:val="23"/>
          <w:u w:val="single"/>
        </w:rPr>
      </w:pPr>
    </w:p>
    <w:p w14:paraId="4F3EBFF3" w14:textId="77777777" w:rsidR="00FD653D" w:rsidRPr="006A5D66" w:rsidRDefault="00FD653D" w:rsidP="006A60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3"/>
          <w:szCs w:val="23"/>
          <w:u w:val="single"/>
        </w:rPr>
      </w:pPr>
      <w:r w:rsidRPr="006A5D66">
        <w:rPr>
          <w:rFonts w:ascii="Segoe UI" w:hAnsi="Segoe UI" w:cs="Segoe UI"/>
          <w:b/>
          <w:color w:val="000000"/>
          <w:sz w:val="23"/>
          <w:szCs w:val="23"/>
          <w:u w:val="single"/>
        </w:rPr>
        <w:t>Úspěšné dokončení všech složek vývoje</w:t>
      </w:r>
    </w:p>
    <w:p w14:paraId="3556B9C6" w14:textId="77777777" w:rsidR="00FD653D" w:rsidRPr="006A5D66" w:rsidRDefault="00FD653D" w:rsidP="00FD653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b/>
          <w:color w:val="000000"/>
          <w:sz w:val="23"/>
          <w:szCs w:val="23"/>
        </w:rPr>
      </w:pPr>
    </w:p>
    <w:p w14:paraId="5B21BB5E" w14:textId="2761F529" w:rsidR="00FD653D" w:rsidRPr="006A5D66" w:rsidRDefault="000313CE" w:rsidP="00B211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6A5D66">
        <w:rPr>
          <w:rFonts w:ascii="Segoe UI" w:hAnsi="Segoe UI" w:cs="Segoe UI"/>
          <w:sz w:val="23"/>
          <w:szCs w:val="23"/>
        </w:rPr>
        <w:lastRenderedPageBreak/>
        <w:t xml:space="preserve">Velmi negativní zkušenosti v kauze nekovových brzdových špalíků typu LL nutí k adekvátní </w:t>
      </w:r>
      <w:r w:rsidR="00B21197">
        <w:rPr>
          <w:rFonts w:ascii="Segoe UI" w:hAnsi="Segoe UI" w:cs="Segoe UI"/>
          <w:sz w:val="23"/>
          <w:szCs w:val="23"/>
        </w:rPr>
        <w:t xml:space="preserve">a mimořádné </w:t>
      </w:r>
      <w:r w:rsidRPr="006A5D66">
        <w:rPr>
          <w:rFonts w:ascii="Segoe UI" w:hAnsi="Segoe UI" w:cs="Segoe UI"/>
          <w:sz w:val="23"/>
          <w:szCs w:val="23"/>
        </w:rPr>
        <w:t xml:space="preserve">obezřetnosti i v případě eventuálního zavádění DAS. </w:t>
      </w:r>
    </w:p>
    <w:p w14:paraId="381DE834" w14:textId="77777777" w:rsidR="000313CE" w:rsidRPr="006A5D66" w:rsidRDefault="000313CE" w:rsidP="00FD653D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sz w:val="23"/>
          <w:szCs w:val="23"/>
        </w:rPr>
      </w:pPr>
    </w:p>
    <w:p w14:paraId="7CE60674" w14:textId="77777777" w:rsidR="00B21197" w:rsidRDefault="000313CE" w:rsidP="00B211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6A5D66">
        <w:rPr>
          <w:rFonts w:ascii="Segoe UI" w:hAnsi="Segoe UI" w:cs="Segoe UI"/>
          <w:sz w:val="23"/>
          <w:szCs w:val="23"/>
        </w:rPr>
        <w:t xml:space="preserve">Vývoj všech komponent systému DAS musí být v okamžiku spuštění provozu již </w:t>
      </w:r>
      <w:r w:rsidR="006A5D66" w:rsidRPr="006A5D66">
        <w:rPr>
          <w:rFonts w:ascii="Segoe UI" w:hAnsi="Segoe UI" w:cs="Segoe UI"/>
          <w:sz w:val="23"/>
          <w:szCs w:val="23"/>
        </w:rPr>
        <w:t xml:space="preserve">po všech stránkách </w:t>
      </w:r>
      <w:r w:rsidRPr="006A5D66">
        <w:rPr>
          <w:rFonts w:ascii="Segoe UI" w:hAnsi="Segoe UI" w:cs="Segoe UI"/>
          <w:sz w:val="23"/>
          <w:szCs w:val="23"/>
        </w:rPr>
        <w:t>úspěšně dokončen</w:t>
      </w:r>
      <w:r w:rsidR="00DB78E7" w:rsidRPr="006A5D66">
        <w:rPr>
          <w:rFonts w:ascii="Segoe UI" w:hAnsi="Segoe UI" w:cs="Segoe UI"/>
          <w:sz w:val="23"/>
          <w:szCs w:val="23"/>
        </w:rPr>
        <w:t xml:space="preserve"> včetně úspěšných výsledků všech příslušných testů a zkoušek. </w:t>
      </w:r>
    </w:p>
    <w:p w14:paraId="1F929657" w14:textId="77777777" w:rsidR="00B21197" w:rsidRPr="00B21197" w:rsidRDefault="00B21197" w:rsidP="00B21197">
      <w:pPr>
        <w:pStyle w:val="Odstavecseseznamem"/>
        <w:rPr>
          <w:rFonts w:ascii="Segoe UI" w:hAnsi="Segoe UI" w:cs="Segoe UI"/>
          <w:sz w:val="23"/>
          <w:szCs w:val="23"/>
        </w:rPr>
      </w:pPr>
    </w:p>
    <w:p w14:paraId="6E61F1AC" w14:textId="0730F9A6" w:rsidR="000313CE" w:rsidRDefault="00DB78E7" w:rsidP="00B211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6A5D66">
        <w:rPr>
          <w:rFonts w:ascii="Segoe UI" w:hAnsi="Segoe UI" w:cs="Segoe UI"/>
          <w:sz w:val="23"/>
          <w:szCs w:val="23"/>
        </w:rPr>
        <w:t xml:space="preserve"> </w:t>
      </w:r>
      <w:r w:rsidRPr="003F789E">
        <w:rPr>
          <w:rFonts w:ascii="Segoe UI" w:hAnsi="Segoe UI" w:cs="Segoe UI"/>
          <w:b/>
          <w:sz w:val="23"/>
          <w:szCs w:val="23"/>
        </w:rPr>
        <w:t>Z právního hlediska je nepřípustné, aby TSI ukládaly nebo umožňovaly užívání systému DAS, který by kvůli nedokončenému vývoji představoval ohrožení plynulé a/nebo bezpečné drážní dopravy.</w:t>
      </w:r>
      <w:r w:rsidRPr="006A5D66">
        <w:rPr>
          <w:rFonts w:ascii="Segoe UI" w:hAnsi="Segoe UI" w:cs="Segoe UI"/>
          <w:sz w:val="23"/>
          <w:szCs w:val="23"/>
        </w:rPr>
        <w:t xml:space="preserve"> </w:t>
      </w:r>
    </w:p>
    <w:p w14:paraId="3E814B12" w14:textId="77777777" w:rsidR="00F12B07" w:rsidRDefault="00F12B07" w:rsidP="001245E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sz w:val="23"/>
          <w:szCs w:val="23"/>
        </w:rPr>
      </w:pPr>
    </w:p>
    <w:p w14:paraId="0129C77C" w14:textId="7C842BAD" w:rsidR="00F12B07" w:rsidRDefault="00F12B07" w:rsidP="00B211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3"/>
          <w:szCs w:val="23"/>
          <w:u w:val="single"/>
        </w:rPr>
      </w:pPr>
      <w:r w:rsidRPr="00F12B07">
        <w:rPr>
          <w:rFonts w:ascii="Segoe UI" w:hAnsi="Segoe UI" w:cs="Segoe UI"/>
          <w:sz w:val="23"/>
          <w:szCs w:val="23"/>
          <w:u w:val="single"/>
        </w:rPr>
        <w:t>Úspěšné dokončení a otestování DAS</w:t>
      </w:r>
      <w:r>
        <w:rPr>
          <w:rFonts w:ascii="Segoe UI" w:hAnsi="Segoe UI" w:cs="Segoe UI"/>
          <w:sz w:val="23"/>
          <w:szCs w:val="23"/>
          <w:u w:val="single"/>
        </w:rPr>
        <w:t xml:space="preserve"> představuje</w:t>
      </w:r>
      <w:r w:rsidRPr="00F12B07">
        <w:rPr>
          <w:rFonts w:ascii="Segoe UI" w:hAnsi="Segoe UI" w:cs="Segoe UI"/>
          <w:sz w:val="23"/>
          <w:szCs w:val="23"/>
          <w:u w:val="single"/>
        </w:rPr>
        <w:t xml:space="preserve"> </w:t>
      </w:r>
      <w:r>
        <w:rPr>
          <w:rFonts w:ascii="Segoe UI" w:hAnsi="Segoe UI" w:cs="Segoe UI"/>
          <w:bCs/>
          <w:color w:val="000000"/>
          <w:sz w:val="23"/>
          <w:szCs w:val="23"/>
          <w:u w:val="single"/>
        </w:rPr>
        <w:t>podmínk</w:t>
      </w:r>
      <w:r w:rsidRPr="00F12B07">
        <w:rPr>
          <w:rFonts w:ascii="Segoe UI" w:hAnsi="Segoe UI" w:cs="Segoe UI"/>
          <w:bCs/>
          <w:color w:val="000000"/>
          <w:sz w:val="23"/>
          <w:szCs w:val="23"/>
          <w:u w:val="single"/>
        </w:rPr>
        <w:t>u adekvátního zvážení nákladů a přínosů ú</w:t>
      </w:r>
      <w:r w:rsidR="00B2527F">
        <w:rPr>
          <w:rFonts w:ascii="Segoe UI" w:hAnsi="Segoe UI" w:cs="Segoe UI"/>
          <w:bCs/>
          <w:color w:val="000000"/>
          <w:sz w:val="23"/>
          <w:szCs w:val="23"/>
          <w:u w:val="single"/>
        </w:rPr>
        <w:t>pravy</w:t>
      </w:r>
      <w:r w:rsidRPr="00F12B07">
        <w:rPr>
          <w:rFonts w:ascii="Segoe UI" w:hAnsi="Segoe UI" w:cs="Segoe UI"/>
          <w:bCs/>
          <w:color w:val="000000"/>
          <w:sz w:val="23"/>
          <w:szCs w:val="23"/>
          <w:u w:val="single"/>
        </w:rPr>
        <w:t xml:space="preserve"> systému DAS</w:t>
      </w:r>
      <w:r>
        <w:rPr>
          <w:rFonts w:ascii="Segoe UI" w:hAnsi="Segoe UI" w:cs="Segoe UI"/>
          <w:bCs/>
          <w:color w:val="000000"/>
          <w:sz w:val="23"/>
          <w:szCs w:val="23"/>
          <w:u w:val="single"/>
        </w:rPr>
        <w:t xml:space="preserve"> </w:t>
      </w:r>
      <w:r w:rsidR="00B2527F">
        <w:rPr>
          <w:rFonts w:ascii="Segoe UI" w:hAnsi="Segoe UI" w:cs="Segoe UI"/>
          <w:bCs/>
          <w:color w:val="000000"/>
          <w:sz w:val="23"/>
          <w:szCs w:val="23"/>
          <w:u w:val="single"/>
        </w:rPr>
        <w:t xml:space="preserve">v TSI </w:t>
      </w:r>
      <w:r w:rsidRPr="00F12B07">
        <w:rPr>
          <w:rFonts w:ascii="Segoe UI" w:hAnsi="Segoe UI" w:cs="Segoe UI"/>
          <w:sz w:val="23"/>
          <w:szCs w:val="23"/>
          <w:u w:val="single"/>
        </w:rPr>
        <w:t xml:space="preserve">podle čl. 5 odst. 3 </w:t>
      </w:r>
      <w:r w:rsidR="00886AED" w:rsidRPr="00886AED">
        <w:rPr>
          <w:rFonts w:ascii="Segoe UI" w:hAnsi="Segoe UI" w:cs="Segoe UI"/>
          <w:bCs/>
          <w:color w:val="000000"/>
          <w:sz w:val="23"/>
          <w:szCs w:val="23"/>
          <w:u w:val="single"/>
        </w:rPr>
        <w:t>IOP směrnice</w:t>
      </w:r>
      <w:r w:rsidR="00886AED">
        <w:rPr>
          <w:rFonts w:ascii="Segoe UI" w:hAnsi="Segoe UI" w:cs="Segoe UI"/>
          <w:bCs/>
          <w:color w:val="000000"/>
          <w:sz w:val="23"/>
          <w:szCs w:val="23"/>
          <w:u w:val="single"/>
        </w:rPr>
        <w:t>.</w:t>
      </w:r>
      <w:r w:rsidR="00886AED" w:rsidRPr="00F12B07">
        <w:rPr>
          <w:rFonts w:ascii="Segoe UI" w:hAnsi="Segoe UI" w:cs="Segoe UI"/>
          <w:bCs/>
          <w:color w:val="000000"/>
          <w:sz w:val="23"/>
          <w:szCs w:val="23"/>
          <w:u w:val="single"/>
        </w:rPr>
        <w:t xml:space="preserve"> </w:t>
      </w:r>
    </w:p>
    <w:p w14:paraId="3AD6A0A3" w14:textId="77777777" w:rsidR="008C5327" w:rsidRDefault="008C5327" w:rsidP="001245E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color w:val="000000"/>
          <w:sz w:val="23"/>
          <w:szCs w:val="23"/>
        </w:rPr>
      </w:pPr>
    </w:p>
    <w:p w14:paraId="56DD56B8" w14:textId="2560E259" w:rsidR="008C5327" w:rsidRPr="008C5327" w:rsidRDefault="008C5327" w:rsidP="004C6BC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8C5327">
        <w:rPr>
          <w:rFonts w:ascii="Segoe UI" w:hAnsi="Segoe UI" w:cs="Segoe UI"/>
          <w:color w:val="000000"/>
          <w:sz w:val="23"/>
          <w:szCs w:val="23"/>
        </w:rPr>
        <w:t>V rámci posuzování přínosů novelizace TSI</w:t>
      </w:r>
      <w:r>
        <w:rPr>
          <w:rFonts w:ascii="Segoe UI" w:hAnsi="Segoe UI" w:cs="Segoe UI"/>
          <w:color w:val="000000"/>
          <w:sz w:val="23"/>
          <w:szCs w:val="23"/>
        </w:rPr>
        <w:t xml:space="preserve"> bude komplexně </w:t>
      </w:r>
      <w:r w:rsidRPr="008C5327">
        <w:rPr>
          <w:rFonts w:ascii="Segoe UI" w:hAnsi="Segoe UI" w:cs="Segoe UI"/>
          <w:color w:val="000000"/>
          <w:sz w:val="23"/>
          <w:szCs w:val="23"/>
          <w:u w:val="single"/>
        </w:rPr>
        <w:t xml:space="preserve">zkoumán i deklarovaný přínos dekarbonizaci a soulad se zásadami Green </w:t>
      </w:r>
      <w:proofErr w:type="spellStart"/>
      <w:r w:rsidRPr="008C5327">
        <w:rPr>
          <w:rFonts w:ascii="Segoe UI" w:hAnsi="Segoe UI" w:cs="Segoe UI"/>
          <w:color w:val="000000"/>
          <w:sz w:val="23"/>
          <w:szCs w:val="23"/>
          <w:u w:val="single"/>
        </w:rPr>
        <w:t>Deal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. Bude tedy nutné prokázat, že provozování DAS představuje dostatečně vysoké úspory emisí oproti provozování vozidel s konvenčním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spřáhlem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tj.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šroubovkou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.  </w:t>
      </w:r>
    </w:p>
    <w:p w14:paraId="0454BD6B" w14:textId="77777777" w:rsidR="00FD653D" w:rsidRPr="006A5D66" w:rsidRDefault="00FD653D" w:rsidP="00FD653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b/>
          <w:color w:val="000000"/>
          <w:sz w:val="23"/>
          <w:szCs w:val="23"/>
        </w:rPr>
      </w:pPr>
    </w:p>
    <w:p w14:paraId="41F36CEA" w14:textId="1BDA7917" w:rsidR="006A5D66" w:rsidRPr="005B282F" w:rsidRDefault="001245EB" w:rsidP="006A60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3"/>
          <w:szCs w:val="23"/>
          <w:u w:val="single"/>
        </w:rPr>
      </w:pPr>
      <w:r w:rsidRPr="005B282F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K </w:t>
      </w:r>
      <w:r w:rsidR="006A5D66" w:rsidRPr="005B282F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zavádění DAS </w:t>
      </w:r>
      <w:r w:rsidR="00B21197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tzv. </w:t>
      </w:r>
      <w:r w:rsidR="006A5D66" w:rsidRPr="005B282F">
        <w:rPr>
          <w:rFonts w:ascii="Segoe UI" w:hAnsi="Segoe UI" w:cs="Segoe UI"/>
          <w:b/>
          <w:color w:val="000000"/>
          <w:sz w:val="23"/>
          <w:szCs w:val="23"/>
          <w:u w:val="single"/>
        </w:rPr>
        <w:t>„velkým třeskem“</w:t>
      </w:r>
    </w:p>
    <w:p w14:paraId="32A62BF1" w14:textId="77777777" w:rsidR="006A5D66" w:rsidRDefault="006A5D66" w:rsidP="006A5D6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b/>
          <w:color w:val="000000"/>
          <w:sz w:val="23"/>
          <w:szCs w:val="23"/>
        </w:rPr>
      </w:pPr>
    </w:p>
    <w:p w14:paraId="2BF09BB6" w14:textId="29D9EFDF" w:rsidR="00F12B07" w:rsidRDefault="00F12B07" w:rsidP="00B211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Pojmovou náležitostí veřejné nákladní dopravy, mimo jiné, je povinnost dopravce, „</w:t>
      </w:r>
      <w:r w:rsidRPr="001245EB">
        <w:rPr>
          <w:rFonts w:ascii="Segoe UI" w:hAnsi="Segoe UI" w:cs="Segoe UI"/>
          <w:i/>
          <w:color w:val="000000"/>
          <w:sz w:val="23"/>
          <w:szCs w:val="23"/>
        </w:rPr>
        <w:t>přepravit věci, pokud lze přepravu provést dopravcem a zařízeními vyhovujícími obvyklým přepravním potřebám</w:t>
      </w:r>
      <w:r>
        <w:rPr>
          <w:rFonts w:ascii="Segoe UI" w:hAnsi="Segoe UI" w:cs="Segoe UI"/>
          <w:color w:val="000000"/>
          <w:sz w:val="23"/>
          <w:szCs w:val="23"/>
        </w:rPr>
        <w:t>“ (viz např. § 36 odst. 1 písm. c) zákona č. 266/1994 Sb., o dráhách, ve znění pozdějších předpisů – dále též jen jako „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ZoD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“ nebo „zákon o dráhách“). </w:t>
      </w:r>
      <w:r w:rsidRPr="001F28C4">
        <w:rPr>
          <w:rFonts w:ascii="Segoe UI" w:hAnsi="Segoe UI" w:cs="Segoe UI"/>
          <w:b/>
          <w:color w:val="000000"/>
          <w:sz w:val="23"/>
          <w:szCs w:val="23"/>
        </w:rPr>
        <w:t>Dopr</w:t>
      </w:r>
      <w:r>
        <w:rPr>
          <w:rFonts w:ascii="Segoe UI" w:hAnsi="Segoe UI" w:cs="Segoe UI"/>
          <w:b/>
          <w:color w:val="000000"/>
          <w:sz w:val="23"/>
          <w:szCs w:val="23"/>
        </w:rPr>
        <w:t>avce ve veřejné dopravě tedy nemůže po relativně dlouhé plánované migrační období pro instalaci DAS odmíta</w:t>
      </w:r>
      <w:r w:rsidRPr="001F28C4">
        <w:rPr>
          <w:rFonts w:ascii="Segoe UI" w:hAnsi="Segoe UI" w:cs="Segoe UI"/>
          <w:b/>
          <w:color w:val="000000"/>
          <w:sz w:val="23"/>
          <w:szCs w:val="23"/>
        </w:rPr>
        <w:t xml:space="preserve">t přepravu s poukazem na skutečnost, že v jeden okamžik zavádí na všech vozidlech DAS. </w:t>
      </w:r>
    </w:p>
    <w:p w14:paraId="28D40412" w14:textId="77777777" w:rsidR="00B21197" w:rsidRPr="00B21197" w:rsidRDefault="00B21197" w:rsidP="00B2119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3"/>
          <w:szCs w:val="23"/>
        </w:rPr>
      </w:pPr>
    </w:p>
    <w:p w14:paraId="18A9553F" w14:textId="050A8C9E" w:rsidR="00B21197" w:rsidRDefault="00B21197" w:rsidP="00B211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>
        <w:rPr>
          <w:rFonts w:ascii="Segoe UI" w:hAnsi="Segoe UI" w:cs="Segoe UI"/>
          <w:b/>
          <w:color w:val="000000"/>
          <w:sz w:val="23"/>
          <w:szCs w:val="23"/>
        </w:rPr>
        <w:t xml:space="preserve">Totéž </w:t>
      </w:r>
      <w:proofErr w:type="spellStart"/>
      <w:r>
        <w:rPr>
          <w:rFonts w:ascii="Segoe UI" w:hAnsi="Segoe UI" w:cs="Segoe UI"/>
          <w:b/>
          <w:color w:val="000000"/>
          <w:sz w:val="23"/>
          <w:szCs w:val="23"/>
        </w:rPr>
        <w:t>mutatis</w:t>
      </w:r>
      <w:proofErr w:type="spellEnd"/>
      <w:r>
        <w:rPr>
          <w:rFonts w:ascii="Segoe UI" w:hAnsi="Segoe UI" w:cs="Segoe UI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23"/>
          <w:szCs w:val="23"/>
        </w:rPr>
        <w:t>mutandis</w:t>
      </w:r>
      <w:proofErr w:type="spellEnd"/>
      <w:r>
        <w:rPr>
          <w:rFonts w:ascii="Segoe UI" w:hAnsi="Segoe UI" w:cs="Segoe UI"/>
          <w:b/>
          <w:color w:val="000000"/>
          <w:sz w:val="23"/>
          <w:szCs w:val="23"/>
        </w:rPr>
        <w:t xml:space="preserve"> platí pro neveřejnou nákladní dopravu stran plnění smluvních obchodních závazků dopravce vůči přepravcům.  </w:t>
      </w:r>
    </w:p>
    <w:p w14:paraId="489262D1" w14:textId="77777777" w:rsidR="00AA7850" w:rsidRDefault="00AA7850" w:rsidP="00F1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color w:val="000000"/>
          <w:sz w:val="23"/>
          <w:szCs w:val="23"/>
        </w:rPr>
      </w:pPr>
    </w:p>
    <w:p w14:paraId="32E5D3A1" w14:textId="17448949" w:rsidR="00AA7850" w:rsidRDefault="00AA7850" w:rsidP="00B211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>
        <w:rPr>
          <w:rFonts w:ascii="Segoe UI" w:hAnsi="Segoe UI" w:cs="Segoe UI"/>
          <w:b/>
          <w:color w:val="000000"/>
          <w:sz w:val="23"/>
          <w:szCs w:val="23"/>
        </w:rPr>
        <w:t xml:space="preserve">Rovněž požadavek posílení konkurenceschopnosti železniční dopravy a ochrany hospodářské soutěže podle odst. 10 a 13 preambule IOP směrnice nedovolují ohrozit pozici železničních dopravců na trhu přepravních služeb tím, že po dobu několika týdnů nebudou reálně moci kvůli zavádění DAS velkým třeskem poskytovat své služby. </w:t>
      </w:r>
    </w:p>
    <w:p w14:paraId="35F489F3" w14:textId="77777777" w:rsidR="006A7D11" w:rsidRDefault="006A7D11" w:rsidP="00F1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color w:val="000000"/>
          <w:sz w:val="23"/>
          <w:szCs w:val="23"/>
        </w:rPr>
      </w:pPr>
    </w:p>
    <w:p w14:paraId="653842FA" w14:textId="0D14FE35" w:rsidR="00104DC3" w:rsidRDefault="001F28C4" w:rsidP="00B211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Z předložené prezentace není zřejmá právní povaha středisek instalace DAS („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DACcination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centers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“). Pokud by se mělo jedna</w:t>
      </w:r>
      <w:r w:rsidR="006A7D11">
        <w:rPr>
          <w:rFonts w:ascii="Segoe UI" w:hAnsi="Segoe UI" w:cs="Segoe UI"/>
          <w:color w:val="000000"/>
          <w:sz w:val="23"/>
          <w:szCs w:val="23"/>
        </w:rPr>
        <w:t>t</w:t>
      </w:r>
      <w:r>
        <w:rPr>
          <w:rFonts w:ascii="Segoe UI" w:hAnsi="Segoe UI" w:cs="Segoe UI"/>
          <w:color w:val="000000"/>
          <w:sz w:val="23"/>
          <w:szCs w:val="23"/>
        </w:rPr>
        <w:t xml:space="preserve"> o zařízení služeb, a tedy veřejně přístupná</w:t>
      </w:r>
      <w:r w:rsidR="0083653A">
        <w:rPr>
          <w:rFonts w:ascii="Segoe UI" w:hAnsi="Segoe UI" w:cs="Segoe UI"/>
          <w:color w:val="000000"/>
          <w:sz w:val="23"/>
          <w:szCs w:val="23"/>
        </w:rPr>
        <w:t xml:space="preserve"> zařízení</w:t>
      </w:r>
      <w:r>
        <w:rPr>
          <w:rFonts w:ascii="Segoe UI" w:hAnsi="Segoe UI" w:cs="Segoe UI"/>
          <w:color w:val="000000"/>
          <w:sz w:val="23"/>
          <w:szCs w:val="23"/>
        </w:rPr>
        <w:t xml:space="preserve">, pak by možnosti zavádění DAS „velkým třeskem“ byly výrazně limitovány právní úpravou zařízení služeb a možnostmi provozovatele takových středisek instalace DAS. </w:t>
      </w:r>
      <w:r w:rsidR="006A7D11">
        <w:rPr>
          <w:rFonts w:ascii="Segoe UI" w:hAnsi="Segoe UI" w:cs="Segoe UI"/>
          <w:color w:val="000000"/>
          <w:sz w:val="23"/>
          <w:szCs w:val="23"/>
        </w:rPr>
        <w:t xml:space="preserve">Dopravci by </w:t>
      </w:r>
      <w:r w:rsidR="00EA2DFB">
        <w:rPr>
          <w:rFonts w:ascii="Segoe UI" w:hAnsi="Segoe UI" w:cs="Segoe UI"/>
          <w:color w:val="000000"/>
          <w:sz w:val="23"/>
          <w:szCs w:val="23"/>
        </w:rPr>
        <w:t xml:space="preserve">tudíž </w:t>
      </w:r>
      <w:r w:rsidR="006A7D11">
        <w:rPr>
          <w:rFonts w:ascii="Segoe UI" w:hAnsi="Segoe UI" w:cs="Segoe UI"/>
          <w:color w:val="000000"/>
          <w:sz w:val="23"/>
          <w:szCs w:val="23"/>
        </w:rPr>
        <w:t>neměli automatický nárok na užití kapacity středisek instalace kdykoliv a v maximálně možném rozsahu 24 hod. x 7 dnů</w:t>
      </w:r>
      <w:r w:rsidR="00EA2DFB">
        <w:rPr>
          <w:rFonts w:ascii="Segoe UI" w:hAnsi="Segoe UI" w:cs="Segoe UI"/>
          <w:color w:val="000000"/>
          <w:sz w:val="23"/>
          <w:szCs w:val="23"/>
        </w:rPr>
        <w:t>, nehledě na problematiku koordinace vzájemně si konkurujících žádostí</w:t>
      </w:r>
      <w:r w:rsidR="006A7D11">
        <w:rPr>
          <w:rFonts w:ascii="Segoe UI" w:hAnsi="Segoe UI" w:cs="Segoe UI"/>
          <w:color w:val="000000"/>
          <w:sz w:val="23"/>
          <w:szCs w:val="23"/>
        </w:rPr>
        <w:t xml:space="preserve">. </w:t>
      </w:r>
    </w:p>
    <w:p w14:paraId="3A6E609D" w14:textId="77777777" w:rsidR="00507739" w:rsidRDefault="00507739" w:rsidP="001245E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0A801338" w14:textId="77777777" w:rsidR="006A5D66" w:rsidRPr="005B282F" w:rsidRDefault="006065C9" w:rsidP="006A60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3"/>
          <w:szCs w:val="23"/>
          <w:u w:val="single"/>
        </w:rPr>
      </w:pPr>
      <w:r w:rsidRPr="005B282F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Přechodná ustanovení </w:t>
      </w:r>
      <w:r w:rsidR="00357CC4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případné </w:t>
      </w:r>
      <w:r w:rsidRPr="005B282F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novely TSI </w:t>
      </w:r>
      <w:r w:rsidR="0083653A">
        <w:rPr>
          <w:rFonts w:ascii="Segoe UI" w:hAnsi="Segoe UI" w:cs="Segoe UI"/>
          <w:b/>
          <w:color w:val="000000"/>
          <w:sz w:val="23"/>
          <w:szCs w:val="23"/>
          <w:u w:val="single"/>
        </w:rPr>
        <w:t>(</w:t>
      </w:r>
      <w:r w:rsidR="005B282F" w:rsidRPr="005B282F">
        <w:rPr>
          <w:rFonts w:ascii="Segoe UI" w:hAnsi="Segoe UI" w:cs="Segoe UI"/>
          <w:b/>
          <w:color w:val="000000"/>
          <w:sz w:val="23"/>
          <w:szCs w:val="23"/>
          <w:u w:val="single"/>
        </w:rPr>
        <w:t>WAG</w:t>
      </w:r>
      <w:r w:rsidR="0083653A">
        <w:rPr>
          <w:rFonts w:ascii="Segoe UI" w:hAnsi="Segoe UI" w:cs="Segoe UI"/>
          <w:b/>
          <w:color w:val="000000"/>
          <w:sz w:val="23"/>
          <w:szCs w:val="23"/>
          <w:u w:val="single"/>
        </w:rPr>
        <w:t>)</w:t>
      </w:r>
    </w:p>
    <w:p w14:paraId="6E6DFC6B" w14:textId="46901876" w:rsidR="005B282F" w:rsidRDefault="005B282F" w:rsidP="0064747D">
      <w:pPr>
        <w:pStyle w:val="doc-ti"/>
        <w:numPr>
          <w:ilvl w:val="0"/>
          <w:numId w:val="6"/>
        </w:numPr>
        <w:shd w:val="clear" w:color="auto" w:fill="FFFFFF"/>
        <w:spacing w:before="240" w:beforeAutospacing="0" w:after="120" w:afterAutospacing="0"/>
        <w:jc w:val="both"/>
        <w:rPr>
          <w:rFonts w:ascii="Segoe UI" w:hAnsi="Segoe UI" w:cs="Segoe UI"/>
          <w:bCs/>
          <w:color w:val="000000"/>
          <w:sz w:val="23"/>
          <w:szCs w:val="23"/>
        </w:rPr>
      </w:pPr>
      <w:r w:rsidRPr="005B282F">
        <w:rPr>
          <w:rFonts w:ascii="Segoe UI" w:hAnsi="Segoe UI" w:cs="Segoe UI"/>
          <w:color w:val="000000"/>
          <w:sz w:val="23"/>
          <w:szCs w:val="23"/>
        </w:rPr>
        <w:t>Evropský zákonodárce vždy poskytl adresát</w:t>
      </w:r>
      <w:r w:rsidR="000A1185">
        <w:rPr>
          <w:rFonts w:ascii="Segoe UI" w:hAnsi="Segoe UI" w:cs="Segoe UI"/>
          <w:color w:val="000000"/>
          <w:sz w:val="23"/>
          <w:szCs w:val="23"/>
        </w:rPr>
        <w:t>ům právní normy přechodná obdob</w:t>
      </w:r>
      <w:r w:rsidRPr="005B282F">
        <w:rPr>
          <w:rFonts w:ascii="Segoe UI" w:hAnsi="Segoe UI" w:cs="Segoe UI"/>
          <w:color w:val="000000"/>
          <w:sz w:val="23"/>
          <w:szCs w:val="23"/>
        </w:rPr>
        <w:t>í a ustanovení, zohledňující dosavadní právní úpravu</w:t>
      </w:r>
      <w:r w:rsidR="0083653A">
        <w:rPr>
          <w:rFonts w:ascii="Segoe UI" w:hAnsi="Segoe UI" w:cs="Segoe UI"/>
          <w:color w:val="000000"/>
          <w:sz w:val="23"/>
          <w:szCs w:val="23"/>
        </w:rPr>
        <w:t xml:space="preserve"> a stav</w:t>
      </w:r>
      <w:r w:rsidRPr="005B282F">
        <w:rPr>
          <w:rFonts w:ascii="Segoe UI" w:hAnsi="Segoe UI" w:cs="Segoe UI"/>
          <w:color w:val="000000"/>
          <w:sz w:val="23"/>
          <w:szCs w:val="23"/>
        </w:rPr>
        <w:t xml:space="preserve"> (viz např. </w:t>
      </w:r>
      <w:r>
        <w:rPr>
          <w:rFonts w:ascii="Segoe UI" w:hAnsi="Segoe UI" w:cs="Segoe UI"/>
          <w:color w:val="000000"/>
          <w:sz w:val="23"/>
          <w:szCs w:val="23"/>
        </w:rPr>
        <w:t xml:space="preserve">i </w:t>
      </w:r>
      <w:r w:rsidRPr="005B282F">
        <w:rPr>
          <w:rFonts w:ascii="Segoe UI" w:hAnsi="Segoe UI" w:cs="Segoe UI"/>
          <w:color w:val="000000"/>
          <w:sz w:val="23"/>
          <w:szCs w:val="23"/>
        </w:rPr>
        <w:t xml:space="preserve">čl. 8 odst. 1 nařízení Komise </w:t>
      </w:r>
      <w:r w:rsidRPr="005B282F">
        <w:rPr>
          <w:rFonts w:ascii="Segoe UI" w:hAnsi="Segoe UI" w:cs="Segoe UI"/>
          <w:bCs/>
          <w:color w:val="000000"/>
          <w:sz w:val="23"/>
          <w:szCs w:val="23"/>
        </w:rPr>
        <w:t>č. 321/2013 o technické specifikaci pro interoperabilitu subsystému „kolejová vozidla – nákladní vozy“ železničního systému v Evropské unii a o zrušení rozhodnutí Komise 2006/861/ES</w:t>
      </w:r>
      <w:r>
        <w:rPr>
          <w:rFonts w:ascii="Segoe UI" w:hAnsi="Segoe UI" w:cs="Segoe UI"/>
          <w:bCs/>
          <w:color w:val="000000"/>
          <w:sz w:val="23"/>
          <w:szCs w:val="23"/>
        </w:rPr>
        <w:t xml:space="preserve">). </w:t>
      </w:r>
    </w:p>
    <w:p w14:paraId="0C79941A" w14:textId="7408158D" w:rsidR="005B282F" w:rsidRDefault="005B282F" w:rsidP="0064747D">
      <w:pPr>
        <w:pStyle w:val="doc-ti"/>
        <w:numPr>
          <w:ilvl w:val="0"/>
          <w:numId w:val="6"/>
        </w:numPr>
        <w:shd w:val="clear" w:color="auto" w:fill="FFFFFF"/>
        <w:spacing w:before="240" w:beforeAutospacing="0" w:after="120" w:afterAutospacing="0"/>
        <w:jc w:val="both"/>
        <w:rPr>
          <w:rFonts w:ascii="Segoe UI" w:hAnsi="Segoe UI" w:cs="Segoe UI"/>
          <w:bCs/>
          <w:color w:val="000000"/>
          <w:sz w:val="23"/>
          <w:szCs w:val="23"/>
        </w:rPr>
      </w:pPr>
      <w:r>
        <w:rPr>
          <w:rFonts w:ascii="Segoe UI" w:hAnsi="Segoe UI" w:cs="Segoe UI"/>
          <w:bCs/>
          <w:color w:val="000000"/>
          <w:sz w:val="23"/>
          <w:szCs w:val="23"/>
        </w:rPr>
        <w:t xml:space="preserve">Není proto důvodné se domnívat, že by mohlo být legitimní vyloučit možnost paralelního využívání DAS a konvenčního spřáhla minimálně do konce odpisové lhůty těch vozidel, kde by instalace DAS nebyla ekonomicky racionální. </w:t>
      </w:r>
    </w:p>
    <w:p w14:paraId="2F336D68" w14:textId="04473F19" w:rsidR="00357CC4" w:rsidRPr="00722A3C" w:rsidRDefault="00357CC4" w:rsidP="0064747D">
      <w:pPr>
        <w:pStyle w:val="doc-ti"/>
        <w:numPr>
          <w:ilvl w:val="0"/>
          <w:numId w:val="6"/>
        </w:numPr>
        <w:shd w:val="clear" w:color="auto" w:fill="FFFFFF"/>
        <w:spacing w:before="240" w:beforeAutospacing="0" w:after="120" w:afterAutospacing="0"/>
        <w:jc w:val="both"/>
        <w:rPr>
          <w:rFonts w:ascii="Segoe UI" w:hAnsi="Segoe UI" w:cs="Segoe UI"/>
          <w:b/>
          <w:bCs/>
          <w:color w:val="000000"/>
          <w:sz w:val="23"/>
          <w:szCs w:val="23"/>
        </w:rPr>
      </w:pPr>
      <w:r>
        <w:rPr>
          <w:rFonts w:ascii="Segoe UI" w:hAnsi="Segoe UI" w:cs="Segoe UI"/>
          <w:bCs/>
          <w:color w:val="000000"/>
          <w:sz w:val="23"/>
          <w:szCs w:val="23"/>
        </w:rPr>
        <w:t xml:space="preserve">Ostatně např. i čl. 5 odst. 10 </w:t>
      </w:r>
      <w:r w:rsidR="00F12B07">
        <w:rPr>
          <w:rFonts w:ascii="Segoe UI" w:hAnsi="Segoe UI" w:cs="Segoe UI"/>
          <w:bCs/>
          <w:color w:val="000000"/>
          <w:sz w:val="23"/>
          <w:szCs w:val="23"/>
        </w:rPr>
        <w:t>IOP směrnice</w:t>
      </w:r>
      <w:r>
        <w:rPr>
          <w:rFonts w:ascii="Segoe UI" w:hAnsi="Segoe UI" w:cs="Segoe UI"/>
          <w:bCs/>
          <w:color w:val="000000"/>
          <w:sz w:val="23"/>
          <w:szCs w:val="23"/>
        </w:rPr>
        <w:t xml:space="preserve"> předpokládá</w:t>
      </w:r>
      <w:r w:rsidR="00F470CB">
        <w:rPr>
          <w:rFonts w:ascii="Segoe UI" w:hAnsi="Segoe UI" w:cs="Segoe UI"/>
          <w:bCs/>
          <w:color w:val="000000"/>
          <w:sz w:val="23"/>
          <w:szCs w:val="23"/>
        </w:rPr>
        <w:t xml:space="preserve">, že </w:t>
      </w:r>
      <w:r w:rsidR="00F470CB" w:rsidRPr="00722A3C">
        <w:rPr>
          <w:rFonts w:ascii="Segoe UI" w:hAnsi="Segoe UI" w:cs="Segoe UI"/>
          <w:b/>
          <w:bCs/>
          <w:color w:val="000000"/>
          <w:sz w:val="23"/>
          <w:szCs w:val="23"/>
        </w:rPr>
        <w:t xml:space="preserve">při změně požadavků v rámci novelizace TSI, zajistí nové znění TSI kompatibilitu se subsystémy, které již byly uvedeny do provozu v souladu s předchozím zněním TSI. </w:t>
      </w:r>
    </w:p>
    <w:p w14:paraId="62F8FEF4" w14:textId="69B30541" w:rsidR="005B282F" w:rsidRPr="0064747D" w:rsidRDefault="0070471F" w:rsidP="006474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64747D">
        <w:rPr>
          <w:rFonts w:ascii="Segoe UI" w:hAnsi="Segoe UI" w:cs="Segoe UI"/>
          <w:color w:val="000000"/>
          <w:sz w:val="23"/>
          <w:szCs w:val="23"/>
        </w:rPr>
        <w:t xml:space="preserve">Rovněž z odst. 17 preambule IOP směrnice plyne, že 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>zavádění DAS by nemělo vyžadovat dodatečné náklady od dopravců, nýbrž by TSI měly zajistit zpětnou kompatibilitu DAS s </w:t>
      </w:r>
      <w:r w:rsidR="00EA2DFB" w:rsidRPr="0064747D">
        <w:rPr>
          <w:rFonts w:ascii="Segoe UI" w:hAnsi="Segoe UI" w:cs="Segoe UI"/>
          <w:b/>
          <w:color w:val="000000"/>
          <w:sz w:val="23"/>
          <w:szCs w:val="23"/>
        </w:rPr>
        <w:t>konvenčním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 xml:space="preserve"> </w:t>
      </w:r>
      <w:proofErr w:type="spellStart"/>
      <w:r w:rsidR="00EA2DFB" w:rsidRPr="0064747D">
        <w:rPr>
          <w:rFonts w:ascii="Segoe UI" w:hAnsi="Segoe UI" w:cs="Segoe UI"/>
          <w:b/>
          <w:color w:val="000000"/>
          <w:sz w:val="23"/>
          <w:szCs w:val="23"/>
        </w:rPr>
        <w:t>spřa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>hovacím</w:t>
      </w:r>
      <w:proofErr w:type="spellEnd"/>
      <w:r w:rsidRPr="0064747D">
        <w:rPr>
          <w:rFonts w:ascii="Segoe UI" w:hAnsi="Segoe UI" w:cs="Segoe UI"/>
          <w:b/>
          <w:color w:val="000000"/>
          <w:sz w:val="23"/>
          <w:szCs w:val="23"/>
        </w:rPr>
        <w:t xml:space="preserve"> systémem, tj. </w:t>
      </w:r>
      <w:proofErr w:type="spellStart"/>
      <w:r w:rsidRPr="0064747D">
        <w:rPr>
          <w:rFonts w:ascii="Segoe UI" w:hAnsi="Segoe UI" w:cs="Segoe UI"/>
          <w:b/>
          <w:color w:val="000000"/>
          <w:sz w:val="23"/>
          <w:szCs w:val="23"/>
        </w:rPr>
        <w:t>šroubovkou</w:t>
      </w:r>
      <w:proofErr w:type="spellEnd"/>
      <w:r w:rsidRPr="0064747D">
        <w:rPr>
          <w:rFonts w:ascii="Segoe UI" w:hAnsi="Segoe UI" w:cs="Segoe UI"/>
          <w:b/>
          <w:color w:val="000000"/>
          <w:sz w:val="23"/>
          <w:szCs w:val="23"/>
        </w:rPr>
        <w:t>.</w:t>
      </w:r>
      <w:r w:rsidRPr="0064747D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B2527F" w:rsidRPr="0064747D">
        <w:rPr>
          <w:rFonts w:ascii="Segoe UI" w:hAnsi="Segoe UI" w:cs="Segoe UI"/>
          <w:color w:val="000000"/>
          <w:sz w:val="23"/>
          <w:szCs w:val="23"/>
        </w:rPr>
        <w:t xml:space="preserve">To zjevně předpokládá právní možnost paralelního užívání konvenční </w:t>
      </w:r>
      <w:proofErr w:type="spellStart"/>
      <w:r w:rsidR="00B2527F" w:rsidRPr="0064747D">
        <w:rPr>
          <w:rFonts w:ascii="Segoe UI" w:hAnsi="Segoe UI" w:cs="Segoe UI"/>
          <w:color w:val="000000"/>
          <w:sz w:val="23"/>
          <w:szCs w:val="23"/>
        </w:rPr>
        <w:t>šroubovky</w:t>
      </w:r>
      <w:proofErr w:type="spellEnd"/>
      <w:r w:rsidR="00B2527F" w:rsidRPr="0064747D">
        <w:rPr>
          <w:rFonts w:ascii="Segoe UI" w:hAnsi="Segoe UI" w:cs="Segoe UI"/>
          <w:color w:val="000000"/>
          <w:sz w:val="23"/>
          <w:szCs w:val="23"/>
        </w:rPr>
        <w:t xml:space="preserve"> a DAS, minimálně do konce odpisového období vozidel vybavených </w:t>
      </w:r>
      <w:proofErr w:type="spellStart"/>
      <w:r w:rsidR="00B2527F" w:rsidRPr="0064747D">
        <w:rPr>
          <w:rFonts w:ascii="Segoe UI" w:hAnsi="Segoe UI" w:cs="Segoe UI"/>
          <w:color w:val="000000"/>
          <w:sz w:val="23"/>
          <w:szCs w:val="23"/>
        </w:rPr>
        <w:t>šroubovkou</w:t>
      </w:r>
      <w:proofErr w:type="spellEnd"/>
      <w:r w:rsidR="00B2527F" w:rsidRPr="0064747D">
        <w:rPr>
          <w:rFonts w:ascii="Segoe UI" w:hAnsi="Segoe UI" w:cs="Segoe UI"/>
          <w:color w:val="000000"/>
          <w:sz w:val="23"/>
          <w:szCs w:val="23"/>
        </w:rPr>
        <w:t xml:space="preserve"> v okamžiku účinnosti novely TSI upravující DAS. </w:t>
      </w:r>
    </w:p>
    <w:p w14:paraId="0559BE1F" w14:textId="77777777" w:rsidR="005B282F" w:rsidRPr="005B282F" w:rsidRDefault="005B282F" w:rsidP="005B282F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color w:val="000000"/>
          <w:sz w:val="23"/>
          <w:szCs w:val="23"/>
        </w:rPr>
      </w:pPr>
    </w:p>
    <w:p w14:paraId="5EDF58D1" w14:textId="77777777" w:rsidR="00881CE2" w:rsidRPr="005B282F" w:rsidRDefault="00B2527F" w:rsidP="006A60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3"/>
          <w:szCs w:val="23"/>
          <w:u w:val="single"/>
        </w:rPr>
      </w:pPr>
      <w:r>
        <w:rPr>
          <w:rFonts w:ascii="Segoe UI" w:hAnsi="Segoe UI" w:cs="Segoe UI"/>
          <w:b/>
          <w:color w:val="000000"/>
          <w:sz w:val="23"/>
          <w:szCs w:val="23"/>
          <w:u w:val="single"/>
        </w:rPr>
        <w:t>Jednotný železniční prostor a jeho hranice</w:t>
      </w:r>
    </w:p>
    <w:p w14:paraId="395F348D" w14:textId="77777777" w:rsidR="00FD653D" w:rsidRPr="006A5D66" w:rsidRDefault="00FD653D" w:rsidP="00FD653D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color w:val="000000"/>
          <w:sz w:val="23"/>
          <w:szCs w:val="23"/>
        </w:rPr>
      </w:pPr>
    </w:p>
    <w:p w14:paraId="146FCAE9" w14:textId="3FDF45C1" w:rsidR="00FD653D" w:rsidRPr="0064747D" w:rsidRDefault="00FD653D" w:rsidP="006474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64747D">
        <w:rPr>
          <w:rFonts w:ascii="Segoe UI" w:hAnsi="Segoe UI" w:cs="Segoe UI"/>
          <w:color w:val="000000"/>
          <w:sz w:val="23"/>
          <w:szCs w:val="23"/>
        </w:rPr>
        <w:t xml:space="preserve">Není zřejmé, jak bude zajištěno provozování DAS ve vztahu k přepravě ze/do zemí mimo EU. Pokud bude systém DAS zaveden jako výhradní, pak v jednotném železničním prostoru nebude </w:t>
      </w:r>
      <w:r w:rsidR="0083653A" w:rsidRPr="0064747D">
        <w:rPr>
          <w:rFonts w:ascii="Segoe UI" w:hAnsi="Segoe UI" w:cs="Segoe UI"/>
          <w:color w:val="000000"/>
          <w:sz w:val="23"/>
          <w:szCs w:val="23"/>
        </w:rPr>
        <w:t>možné provozovat vozidla z</w:t>
      </w:r>
      <w:r w:rsidRPr="0064747D">
        <w:rPr>
          <w:rFonts w:ascii="Segoe UI" w:hAnsi="Segoe UI" w:cs="Segoe UI"/>
          <w:color w:val="000000"/>
          <w:sz w:val="23"/>
          <w:szCs w:val="23"/>
        </w:rPr>
        <w:t xml:space="preserve">/do nečlenských států. </w:t>
      </w:r>
    </w:p>
    <w:p w14:paraId="1FC7FD46" w14:textId="77777777" w:rsidR="000313CE" w:rsidRPr="006A5D66" w:rsidRDefault="000313CE" w:rsidP="00FD6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564C3BD9" w14:textId="04466C2C" w:rsidR="000313CE" w:rsidRPr="0064747D" w:rsidRDefault="000313CE" w:rsidP="006474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64747D">
        <w:rPr>
          <w:rFonts w:ascii="Segoe UI" w:hAnsi="Segoe UI" w:cs="Segoe UI"/>
          <w:color w:val="000000"/>
          <w:sz w:val="23"/>
          <w:szCs w:val="23"/>
        </w:rPr>
        <w:t xml:space="preserve">Nutno také pečlivě analyzovat, zda mezinárodní dohody v oblasti železniční dopravy, jejichž stranami jsou i dopravci usazení v členských státech a/nebo členské státy </w:t>
      </w:r>
      <w:r w:rsidR="0083653A" w:rsidRPr="0064747D">
        <w:rPr>
          <w:rFonts w:ascii="Segoe UI" w:hAnsi="Segoe UI" w:cs="Segoe UI"/>
          <w:color w:val="000000"/>
          <w:sz w:val="23"/>
          <w:szCs w:val="23"/>
        </w:rPr>
        <w:t xml:space="preserve">a/nebo EU </w:t>
      </w:r>
      <w:r w:rsidRPr="0064747D">
        <w:rPr>
          <w:rFonts w:ascii="Segoe UI" w:hAnsi="Segoe UI" w:cs="Segoe UI"/>
          <w:color w:val="000000"/>
          <w:sz w:val="23"/>
          <w:szCs w:val="23"/>
        </w:rPr>
        <w:t xml:space="preserve">takový postup vůbec umožňují. </w:t>
      </w:r>
    </w:p>
    <w:p w14:paraId="45A0D05E" w14:textId="77777777" w:rsidR="003F789E" w:rsidRDefault="003F789E" w:rsidP="00FD6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45668C80" w14:textId="746456ED" w:rsidR="00B2527F" w:rsidRPr="0064747D" w:rsidRDefault="003F789E" w:rsidP="006474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64747D">
        <w:rPr>
          <w:rFonts w:ascii="Segoe UI" w:hAnsi="Segoe UI" w:cs="Segoe UI"/>
          <w:b/>
          <w:color w:val="000000"/>
          <w:sz w:val="23"/>
          <w:szCs w:val="23"/>
        </w:rPr>
        <w:t xml:space="preserve">DAS tedy nesmí představovat překážku v obchodu s třetími </w:t>
      </w:r>
      <w:proofErr w:type="gramStart"/>
      <w:r w:rsidRPr="0064747D">
        <w:rPr>
          <w:rFonts w:ascii="Segoe UI" w:hAnsi="Segoe UI" w:cs="Segoe UI"/>
          <w:b/>
          <w:color w:val="000000"/>
          <w:sz w:val="23"/>
          <w:szCs w:val="23"/>
        </w:rPr>
        <w:t>zeměmi</w:t>
      </w:r>
      <w:proofErr w:type="gramEnd"/>
      <w:r w:rsidRPr="0064747D">
        <w:rPr>
          <w:rFonts w:ascii="Segoe UI" w:hAnsi="Segoe UI" w:cs="Segoe UI"/>
          <w:b/>
          <w:color w:val="000000"/>
          <w:sz w:val="23"/>
          <w:szCs w:val="23"/>
        </w:rPr>
        <w:t xml:space="preserve"> a tak porušovat </w:t>
      </w:r>
      <w:r w:rsidR="003273A1" w:rsidRPr="0064747D">
        <w:rPr>
          <w:rFonts w:ascii="Segoe UI" w:hAnsi="Segoe UI" w:cs="Segoe UI"/>
          <w:b/>
          <w:color w:val="000000"/>
          <w:sz w:val="23"/>
          <w:szCs w:val="23"/>
        </w:rPr>
        <w:t xml:space="preserve">unijní cíle stanovené </w:t>
      </w:r>
      <w:r w:rsidR="000A1185" w:rsidRPr="0064747D">
        <w:rPr>
          <w:rFonts w:ascii="Segoe UI" w:hAnsi="Segoe UI" w:cs="Segoe UI"/>
          <w:b/>
          <w:color w:val="000000"/>
          <w:sz w:val="23"/>
          <w:szCs w:val="23"/>
        </w:rPr>
        <w:t xml:space="preserve">např. </w:t>
      </w:r>
      <w:r w:rsidR="003273A1" w:rsidRPr="0064747D">
        <w:rPr>
          <w:rFonts w:ascii="Segoe UI" w:hAnsi="Segoe UI" w:cs="Segoe UI"/>
          <w:b/>
          <w:color w:val="000000"/>
          <w:sz w:val="23"/>
          <w:szCs w:val="23"/>
        </w:rPr>
        <w:t xml:space="preserve">v 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 xml:space="preserve">čl. 206 </w:t>
      </w:r>
      <w:r w:rsidR="003273A1" w:rsidRPr="0064747D">
        <w:rPr>
          <w:rFonts w:ascii="Segoe UI" w:hAnsi="Segoe UI" w:cs="Segoe UI"/>
          <w:b/>
          <w:color w:val="000000"/>
          <w:sz w:val="23"/>
          <w:szCs w:val="23"/>
        </w:rPr>
        <w:t xml:space="preserve">a 207 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>SFEU.</w:t>
      </w:r>
      <w:r w:rsidR="00886AED" w:rsidRPr="0064747D">
        <w:rPr>
          <w:rFonts w:ascii="Segoe UI" w:hAnsi="Segoe UI" w:cs="Segoe UI"/>
          <w:b/>
          <w:color w:val="000000"/>
          <w:sz w:val="23"/>
          <w:szCs w:val="23"/>
        </w:rPr>
        <w:t xml:space="preserve"> </w:t>
      </w:r>
    </w:p>
    <w:p w14:paraId="0A28E8FD" w14:textId="77777777" w:rsidR="00B2527F" w:rsidRDefault="00B2527F" w:rsidP="00FD6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  <w:sz w:val="23"/>
          <w:szCs w:val="23"/>
        </w:rPr>
      </w:pPr>
    </w:p>
    <w:p w14:paraId="5E7EE742" w14:textId="545D7AB7" w:rsidR="00B2527F" w:rsidRPr="0064747D" w:rsidRDefault="00B2527F" w:rsidP="006474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64747D">
        <w:rPr>
          <w:rFonts w:ascii="Segoe UI" w:hAnsi="Segoe UI" w:cs="Segoe UI"/>
          <w:b/>
          <w:color w:val="000000"/>
          <w:sz w:val="23"/>
          <w:szCs w:val="23"/>
        </w:rPr>
        <w:t>Systém DAS současně nesmí ohrozit přeshraniční dopravu v rámci Unie.</w:t>
      </w:r>
      <w:r w:rsidRPr="0064747D">
        <w:rPr>
          <w:rFonts w:ascii="Segoe UI" w:hAnsi="Segoe UI" w:cs="Segoe UI"/>
          <w:color w:val="000000"/>
          <w:sz w:val="23"/>
          <w:szCs w:val="23"/>
        </w:rPr>
        <w:t xml:space="preserve"> Již v okamžiku posuzování konceptu DAS proto nelze rozdělovat jednotný železniční prostor na jakékoliv </w:t>
      </w:r>
      <w:r w:rsidR="00F27951" w:rsidRPr="0064747D">
        <w:rPr>
          <w:rFonts w:ascii="Segoe UI" w:hAnsi="Segoe UI" w:cs="Segoe UI"/>
          <w:color w:val="000000"/>
          <w:sz w:val="23"/>
          <w:szCs w:val="23"/>
        </w:rPr>
        <w:t xml:space="preserve">sektory, o nichž by se vedla oddělená jednání a které by měly mít případně odlišnou úpravu zavádění či fungování DAS. </w:t>
      </w:r>
    </w:p>
    <w:p w14:paraId="457AB567" w14:textId="77777777" w:rsidR="00B2527F" w:rsidRDefault="00B2527F" w:rsidP="00FD65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  <w:sz w:val="23"/>
          <w:szCs w:val="23"/>
        </w:rPr>
      </w:pPr>
    </w:p>
    <w:p w14:paraId="0F8E15E0" w14:textId="48DD897A" w:rsidR="003F789E" w:rsidRPr="0064747D" w:rsidRDefault="00886AED" w:rsidP="006474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64747D">
        <w:rPr>
          <w:rFonts w:ascii="Segoe UI" w:hAnsi="Segoe UI" w:cs="Segoe UI"/>
          <w:b/>
          <w:color w:val="000000"/>
          <w:sz w:val="23"/>
          <w:szCs w:val="23"/>
        </w:rPr>
        <w:t>Taková úprava TSI</w:t>
      </w:r>
      <w:r w:rsidR="00EA2DFB" w:rsidRPr="0064747D">
        <w:rPr>
          <w:rFonts w:ascii="Segoe UI" w:hAnsi="Segoe UI" w:cs="Segoe UI"/>
          <w:b/>
          <w:color w:val="000000"/>
          <w:sz w:val="23"/>
          <w:szCs w:val="23"/>
        </w:rPr>
        <w:t>, která by omezovala služby železniční dopravy se třetími zeměmi</w:t>
      </w:r>
      <w:r w:rsidR="00B2527F" w:rsidRPr="0064747D">
        <w:rPr>
          <w:rFonts w:ascii="Segoe UI" w:hAnsi="Segoe UI" w:cs="Segoe UI"/>
          <w:b/>
          <w:color w:val="000000"/>
          <w:sz w:val="23"/>
          <w:szCs w:val="23"/>
        </w:rPr>
        <w:t xml:space="preserve"> nebo v rámci Unie</w:t>
      </w:r>
      <w:r w:rsidR="00EA2DFB" w:rsidRPr="0064747D">
        <w:rPr>
          <w:rFonts w:ascii="Segoe UI" w:hAnsi="Segoe UI" w:cs="Segoe UI"/>
          <w:b/>
          <w:color w:val="000000"/>
          <w:sz w:val="23"/>
          <w:szCs w:val="23"/>
        </w:rPr>
        <w:t>,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 xml:space="preserve"> by současně byla v rozporu s odst. 3 preambule IOP směrnice. </w:t>
      </w:r>
    </w:p>
    <w:p w14:paraId="58E9E39A" w14:textId="77777777" w:rsidR="00FD653D" w:rsidRPr="006A5D66" w:rsidRDefault="00FD653D" w:rsidP="00FD653D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color w:val="000000"/>
          <w:sz w:val="23"/>
          <w:szCs w:val="23"/>
        </w:rPr>
      </w:pPr>
    </w:p>
    <w:p w14:paraId="1FCD71C0" w14:textId="77777777" w:rsidR="00FD653D" w:rsidRPr="001F2675" w:rsidRDefault="00502630" w:rsidP="006A60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3"/>
          <w:szCs w:val="23"/>
          <w:u w:val="single"/>
        </w:rPr>
      </w:pPr>
      <w:r w:rsidRPr="001F2675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Působnost </w:t>
      </w:r>
      <w:r w:rsidR="001F2675">
        <w:rPr>
          <w:rFonts w:ascii="Segoe UI" w:hAnsi="Segoe UI" w:cs="Segoe UI"/>
          <w:b/>
          <w:color w:val="000000"/>
          <w:sz w:val="23"/>
          <w:szCs w:val="23"/>
          <w:u w:val="single"/>
        </w:rPr>
        <w:t>TSI</w:t>
      </w:r>
      <w:r w:rsidRPr="001F2675">
        <w:rPr>
          <w:rFonts w:ascii="Segoe UI" w:hAnsi="Segoe UI" w:cs="Segoe UI"/>
          <w:b/>
          <w:color w:val="000000"/>
          <w:sz w:val="23"/>
          <w:szCs w:val="23"/>
          <w:u w:val="single"/>
        </w:rPr>
        <w:t xml:space="preserve"> a dotčené kategorie zařízení služeb</w:t>
      </w:r>
    </w:p>
    <w:p w14:paraId="27918E52" w14:textId="77777777" w:rsidR="00502630" w:rsidRDefault="00502630" w:rsidP="005026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b/>
          <w:color w:val="000000"/>
          <w:sz w:val="23"/>
          <w:szCs w:val="23"/>
        </w:rPr>
      </w:pPr>
    </w:p>
    <w:p w14:paraId="160DA2C7" w14:textId="7B8EA49F" w:rsidR="00502630" w:rsidRDefault="00502630" w:rsidP="006474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02630">
        <w:rPr>
          <w:rFonts w:ascii="Segoe UI" w:hAnsi="Segoe UI" w:cs="Segoe UI"/>
          <w:color w:val="000000"/>
          <w:sz w:val="23"/>
          <w:szCs w:val="23"/>
        </w:rPr>
        <w:t>Fungování DAS</w:t>
      </w:r>
      <w:r>
        <w:rPr>
          <w:rFonts w:ascii="Segoe UI" w:hAnsi="Segoe UI" w:cs="Segoe UI"/>
          <w:color w:val="000000"/>
          <w:sz w:val="23"/>
          <w:szCs w:val="23"/>
        </w:rPr>
        <w:t xml:space="preserve"> bude pravděpodobně vyžadovat </w:t>
      </w:r>
      <w:r w:rsidR="00E77437">
        <w:rPr>
          <w:rFonts w:ascii="Segoe UI" w:hAnsi="Segoe UI" w:cs="Segoe UI"/>
          <w:color w:val="000000"/>
          <w:sz w:val="23"/>
          <w:szCs w:val="23"/>
        </w:rPr>
        <w:t xml:space="preserve">nemalou </w:t>
      </w:r>
      <w:r w:rsidRPr="00E77437">
        <w:rPr>
          <w:rFonts w:ascii="Segoe UI" w:hAnsi="Segoe UI" w:cs="Segoe UI"/>
          <w:color w:val="000000"/>
          <w:sz w:val="23"/>
          <w:szCs w:val="23"/>
          <w:u w:val="single"/>
        </w:rPr>
        <w:t>součinnost</w:t>
      </w:r>
      <w:r w:rsidR="00E77437" w:rsidRPr="00E77437">
        <w:rPr>
          <w:rFonts w:ascii="Segoe UI" w:hAnsi="Segoe UI" w:cs="Segoe UI"/>
          <w:color w:val="000000"/>
          <w:sz w:val="23"/>
          <w:szCs w:val="23"/>
          <w:u w:val="single"/>
        </w:rPr>
        <w:t xml:space="preserve"> přinejmenším</w:t>
      </w:r>
      <w:r w:rsidRPr="00E77437">
        <w:rPr>
          <w:rFonts w:ascii="Segoe UI" w:hAnsi="Segoe UI" w:cs="Segoe UI"/>
          <w:color w:val="000000"/>
          <w:sz w:val="23"/>
          <w:szCs w:val="23"/>
          <w:u w:val="single"/>
        </w:rPr>
        <w:t xml:space="preserve"> s provozovateli nákladních </w:t>
      </w:r>
      <w:proofErr w:type="gramStart"/>
      <w:r w:rsidRPr="00E77437">
        <w:rPr>
          <w:rFonts w:ascii="Segoe UI" w:hAnsi="Segoe UI" w:cs="Segoe UI"/>
          <w:color w:val="000000"/>
          <w:sz w:val="23"/>
          <w:szCs w:val="23"/>
          <w:u w:val="single"/>
        </w:rPr>
        <w:t>terminálů,  s</w:t>
      </w:r>
      <w:proofErr w:type="gramEnd"/>
      <w:r w:rsidRPr="00E77437">
        <w:rPr>
          <w:rFonts w:ascii="Segoe UI" w:hAnsi="Segoe UI" w:cs="Segoe UI"/>
          <w:color w:val="000000"/>
          <w:sz w:val="23"/>
          <w:szCs w:val="23"/>
          <w:u w:val="single"/>
        </w:rPr>
        <w:t> provozovateli seřaďovacích nádraží a zařízení pro sestavování vlaků, včetně zařízení pro seřaďování a s provozovateli odstavných kolejí.</w:t>
      </w:r>
      <w:r>
        <w:rPr>
          <w:rFonts w:ascii="Segoe UI" w:hAnsi="Segoe UI" w:cs="Segoe UI"/>
          <w:color w:val="000000"/>
          <w:sz w:val="23"/>
          <w:szCs w:val="23"/>
        </w:rPr>
        <w:t xml:space="preserve"> Jedná se o zařízení služeb p</w:t>
      </w:r>
      <w:r w:rsidR="00EA2DFB">
        <w:rPr>
          <w:rFonts w:ascii="Segoe UI" w:hAnsi="Segoe UI" w:cs="Segoe UI"/>
          <w:color w:val="000000"/>
          <w:sz w:val="23"/>
          <w:szCs w:val="23"/>
        </w:rPr>
        <w:t>odle přílohy II. odst. 2 písm. b) až d</w:t>
      </w:r>
      <w:r>
        <w:rPr>
          <w:rFonts w:ascii="Segoe UI" w:hAnsi="Segoe UI" w:cs="Segoe UI"/>
          <w:color w:val="000000"/>
          <w:sz w:val="23"/>
          <w:szCs w:val="23"/>
        </w:rPr>
        <w:t xml:space="preserve">) směrnice 2012/34, nikoliv o železniční infrastrukturu podle přílohy I. směrnice 2012/34. </w:t>
      </w:r>
    </w:p>
    <w:p w14:paraId="242A6E9B" w14:textId="77777777" w:rsidR="00502630" w:rsidRPr="00502630" w:rsidRDefault="00502630" w:rsidP="00502630">
      <w:pPr>
        <w:pStyle w:val="Odstavecseseznamem"/>
        <w:autoSpaceDE w:val="0"/>
        <w:autoSpaceDN w:val="0"/>
        <w:adjustRightInd w:val="0"/>
        <w:spacing w:after="0" w:line="240" w:lineRule="auto"/>
        <w:ind w:left="284" w:firstLine="76"/>
        <w:rPr>
          <w:rFonts w:ascii="Segoe UI" w:hAnsi="Segoe UI" w:cs="Segoe UI"/>
          <w:color w:val="000000"/>
          <w:sz w:val="23"/>
          <w:szCs w:val="23"/>
        </w:rPr>
      </w:pPr>
    </w:p>
    <w:p w14:paraId="0AE200A3" w14:textId="6B0E8358" w:rsidR="00502630" w:rsidRPr="0064747D" w:rsidRDefault="00502630" w:rsidP="006474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3"/>
          <w:szCs w:val="23"/>
        </w:rPr>
      </w:pPr>
      <w:r w:rsidRPr="0064747D">
        <w:rPr>
          <w:rFonts w:ascii="Segoe UI" w:hAnsi="Segoe UI" w:cs="Segoe UI"/>
          <w:color w:val="000000"/>
          <w:sz w:val="23"/>
          <w:szCs w:val="23"/>
        </w:rPr>
        <w:t xml:space="preserve">Nařízení Komise </w:t>
      </w:r>
      <w:r w:rsidRPr="0064747D">
        <w:rPr>
          <w:rFonts w:ascii="Segoe UI" w:hAnsi="Segoe UI" w:cs="Segoe UI"/>
          <w:bCs/>
          <w:color w:val="000000"/>
          <w:sz w:val="23"/>
          <w:szCs w:val="23"/>
        </w:rPr>
        <w:t>č. 321/2013 o technické specifikaci pro interoperabilitu subsystému „kolejová vozidla – nákladní vozy“ železničního systému v Evropské unii a o zrušení rozhodnutí Komise 2006/861/ES (dále též jako „TSI WAG“) se týká</w:t>
      </w:r>
      <w:r w:rsidR="00E77437" w:rsidRPr="0064747D">
        <w:rPr>
          <w:rFonts w:ascii="Segoe UI" w:hAnsi="Segoe UI" w:cs="Segoe UI"/>
          <w:bCs/>
          <w:color w:val="000000"/>
          <w:sz w:val="23"/>
          <w:szCs w:val="23"/>
        </w:rPr>
        <w:t xml:space="preserve"> subsystému kolejová vozidla, nikoliv subsystému infrastruktura. </w:t>
      </w:r>
      <w:r w:rsidR="00E77437" w:rsidRPr="0064747D">
        <w:rPr>
          <w:rFonts w:ascii="Segoe UI" w:hAnsi="Segoe UI" w:cs="Segoe UI"/>
          <w:b/>
          <w:bCs/>
          <w:color w:val="000000"/>
          <w:sz w:val="23"/>
          <w:szCs w:val="23"/>
        </w:rPr>
        <w:t xml:space="preserve">Novelizací TSI WAG tudíž nemusí být dosaženo žádoucí úpravy ve vztahu k </w:t>
      </w:r>
      <w:r w:rsidR="00E77437" w:rsidRPr="0064747D">
        <w:rPr>
          <w:rFonts w:ascii="Segoe UI" w:hAnsi="Segoe UI" w:cs="Segoe UI"/>
          <w:b/>
          <w:color w:val="000000"/>
          <w:sz w:val="23"/>
          <w:szCs w:val="23"/>
        </w:rPr>
        <w:t>zařízením služeb p</w:t>
      </w:r>
      <w:r w:rsidR="00EA2DFB" w:rsidRPr="0064747D">
        <w:rPr>
          <w:rFonts w:ascii="Segoe UI" w:hAnsi="Segoe UI" w:cs="Segoe UI"/>
          <w:b/>
          <w:color w:val="000000"/>
          <w:sz w:val="23"/>
          <w:szCs w:val="23"/>
        </w:rPr>
        <w:t>odle přílohy II. odst. 2 písm. b) až d</w:t>
      </w:r>
      <w:r w:rsidR="00E77437" w:rsidRPr="0064747D">
        <w:rPr>
          <w:rFonts w:ascii="Segoe UI" w:hAnsi="Segoe UI" w:cs="Segoe UI"/>
          <w:b/>
          <w:color w:val="000000"/>
          <w:sz w:val="23"/>
          <w:szCs w:val="23"/>
        </w:rPr>
        <w:t>) směrnice 2012/34.</w:t>
      </w:r>
    </w:p>
    <w:p w14:paraId="1B3F15E7" w14:textId="77777777" w:rsidR="00E77437" w:rsidRDefault="00E77437" w:rsidP="00E774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Cs/>
          <w:color w:val="000000"/>
          <w:sz w:val="23"/>
          <w:szCs w:val="23"/>
        </w:rPr>
      </w:pPr>
    </w:p>
    <w:p w14:paraId="12E909DD" w14:textId="4A5A6918" w:rsidR="00725077" w:rsidRPr="0064747D" w:rsidRDefault="00E77437" w:rsidP="006474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64747D">
        <w:rPr>
          <w:rFonts w:ascii="Segoe UI" w:hAnsi="Segoe UI" w:cs="Segoe UI"/>
          <w:color w:val="000000"/>
          <w:sz w:val="23"/>
          <w:szCs w:val="23"/>
        </w:rPr>
        <w:t xml:space="preserve">S ohledem na definici subsystému infrastruktura v bodě 2.1. Přílohy II. IOP směrnice, resp. na definici i ostatních subsystému v bodě 2 Přílohy II. IOP směrnice </w:t>
      </w:r>
      <w:r w:rsidR="000A1185" w:rsidRPr="0064747D">
        <w:rPr>
          <w:rFonts w:ascii="Segoe UI" w:hAnsi="Segoe UI" w:cs="Segoe UI"/>
          <w:b/>
          <w:color w:val="000000"/>
          <w:sz w:val="23"/>
          <w:szCs w:val="23"/>
        </w:rPr>
        <w:t>je přinejmenším velmi nejisté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 xml:space="preserve">, zda některý ze subsystémů </w:t>
      </w:r>
      <w:r w:rsidR="00EA2DFB" w:rsidRPr="0064747D">
        <w:rPr>
          <w:rFonts w:ascii="Segoe UI" w:hAnsi="Segoe UI" w:cs="Segoe UI"/>
          <w:b/>
          <w:color w:val="000000"/>
          <w:sz w:val="23"/>
          <w:szCs w:val="23"/>
        </w:rPr>
        <w:t xml:space="preserve">podle IOP směrnice 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>zahrnuje zařízení služeb p</w:t>
      </w:r>
      <w:r w:rsidR="00EA2DFB" w:rsidRPr="0064747D">
        <w:rPr>
          <w:rFonts w:ascii="Segoe UI" w:hAnsi="Segoe UI" w:cs="Segoe UI"/>
          <w:b/>
          <w:color w:val="000000"/>
          <w:sz w:val="23"/>
          <w:szCs w:val="23"/>
        </w:rPr>
        <w:t>odle přílohy II. odst. 2 písm. b) až d</w:t>
      </w:r>
      <w:r w:rsidRPr="0064747D">
        <w:rPr>
          <w:rFonts w:ascii="Segoe UI" w:hAnsi="Segoe UI" w:cs="Segoe UI"/>
          <w:b/>
          <w:color w:val="000000"/>
          <w:sz w:val="23"/>
          <w:szCs w:val="23"/>
        </w:rPr>
        <w:t>) směrnice 2012/34.</w:t>
      </w:r>
    </w:p>
    <w:p w14:paraId="112C1112" w14:textId="77777777" w:rsidR="00725077" w:rsidRDefault="00725077" w:rsidP="00E774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  <w:sz w:val="23"/>
          <w:szCs w:val="23"/>
        </w:rPr>
      </w:pPr>
    </w:p>
    <w:p w14:paraId="09E33601" w14:textId="5A7DBA45" w:rsidR="00E77437" w:rsidRPr="004C6BC7" w:rsidRDefault="00365ACB" w:rsidP="004C6B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4C6BC7">
        <w:rPr>
          <w:rFonts w:ascii="Segoe UI" w:hAnsi="Segoe UI" w:cs="Segoe UI"/>
          <w:b/>
          <w:color w:val="000000"/>
          <w:sz w:val="23"/>
          <w:szCs w:val="23"/>
        </w:rPr>
        <w:t>Obecně</w:t>
      </w:r>
      <w:r w:rsidR="000A1185" w:rsidRPr="004C6BC7">
        <w:rPr>
          <w:rFonts w:ascii="Segoe UI" w:hAnsi="Segoe UI" w:cs="Segoe UI"/>
          <w:b/>
          <w:color w:val="000000"/>
          <w:sz w:val="23"/>
          <w:szCs w:val="23"/>
        </w:rPr>
        <w:t xml:space="preserve"> t</w:t>
      </w:r>
      <w:r w:rsidR="00E77437" w:rsidRPr="004C6BC7">
        <w:rPr>
          <w:rFonts w:ascii="Segoe UI" w:hAnsi="Segoe UI" w:cs="Segoe UI"/>
          <w:b/>
          <w:color w:val="000000"/>
          <w:sz w:val="23"/>
          <w:szCs w:val="23"/>
        </w:rPr>
        <w:t>edy</w:t>
      </w:r>
      <w:r w:rsidR="000A1185" w:rsidRPr="004C6BC7">
        <w:rPr>
          <w:rFonts w:ascii="Segoe UI" w:hAnsi="Segoe UI" w:cs="Segoe UI"/>
          <w:b/>
          <w:color w:val="000000"/>
          <w:sz w:val="23"/>
          <w:szCs w:val="23"/>
        </w:rPr>
        <w:t xml:space="preserve"> není </w:t>
      </w:r>
      <w:r w:rsidRPr="004C6BC7">
        <w:rPr>
          <w:rFonts w:ascii="Segoe UI" w:hAnsi="Segoe UI" w:cs="Segoe UI"/>
          <w:b/>
          <w:color w:val="000000"/>
          <w:sz w:val="23"/>
          <w:szCs w:val="23"/>
        </w:rPr>
        <w:t xml:space="preserve">doposud </w:t>
      </w:r>
      <w:r w:rsidR="000A1185" w:rsidRPr="004C6BC7">
        <w:rPr>
          <w:rFonts w:ascii="Segoe UI" w:hAnsi="Segoe UI" w:cs="Segoe UI"/>
          <w:b/>
          <w:color w:val="000000"/>
          <w:sz w:val="23"/>
          <w:szCs w:val="23"/>
        </w:rPr>
        <w:t>dostatečně jisté</w:t>
      </w:r>
      <w:r w:rsidR="00E77437" w:rsidRPr="004C6BC7">
        <w:rPr>
          <w:rFonts w:ascii="Segoe UI" w:hAnsi="Segoe UI" w:cs="Segoe UI"/>
          <w:b/>
          <w:color w:val="000000"/>
          <w:sz w:val="23"/>
          <w:szCs w:val="23"/>
        </w:rPr>
        <w:t>, zda novelizace jakýchkoliv TSI je způsobilá dosáhnout kompatibility zařízení služeb p</w:t>
      </w:r>
      <w:r w:rsidR="00EA2DFB" w:rsidRPr="004C6BC7">
        <w:rPr>
          <w:rFonts w:ascii="Segoe UI" w:hAnsi="Segoe UI" w:cs="Segoe UI"/>
          <w:b/>
          <w:color w:val="000000"/>
          <w:sz w:val="23"/>
          <w:szCs w:val="23"/>
        </w:rPr>
        <w:t>odle přílohy II. odst. 2 písm. b) až d</w:t>
      </w:r>
      <w:r w:rsidR="00E77437" w:rsidRPr="004C6BC7">
        <w:rPr>
          <w:rFonts w:ascii="Segoe UI" w:hAnsi="Segoe UI" w:cs="Segoe UI"/>
          <w:b/>
          <w:color w:val="000000"/>
          <w:sz w:val="23"/>
          <w:szCs w:val="23"/>
        </w:rPr>
        <w:t>) směrnice 2012/34 se systémem DAS</w:t>
      </w:r>
      <w:r w:rsidR="000A1185" w:rsidRPr="004C6BC7">
        <w:rPr>
          <w:rFonts w:ascii="Segoe UI" w:hAnsi="Segoe UI" w:cs="Segoe UI"/>
          <w:b/>
          <w:color w:val="000000"/>
          <w:sz w:val="23"/>
          <w:szCs w:val="23"/>
        </w:rPr>
        <w:t>.</w:t>
      </w:r>
    </w:p>
    <w:p w14:paraId="6C9B68DA" w14:textId="77777777" w:rsidR="001F2675" w:rsidRDefault="001F2675" w:rsidP="00E774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/>
          <w:bCs/>
          <w:color w:val="000000"/>
          <w:sz w:val="23"/>
          <w:szCs w:val="23"/>
        </w:rPr>
      </w:pPr>
    </w:p>
    <w:p w14:paraId="21125EA5" w14:textId="0733093D" w:rsidR="001F2675" w:rsidRPr="004C6BC7" w:rsidRDefault="001F2675" w:rsidP="004C6B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3"/>
          <w:szCs w:val="23"/>
        </w:rPr>
      </w:pPr>
      <w:r w:rsidRPr="004C6BC7">
        <w:rPr>
          <w:rFonts w:ascii="Segoe UI" w:hAnsi="Segoe UI" w:cs="Segoe UI"/>
          <w:bCs/>
          <w:color w:val="000000"/>
          <w:sz w:val="23"/>
          <w:szCs w:val="23"/>
        </w:rPr>
        <w:t>Z čl. 5 odst. 1 a 2 IOP směrnice plyne, že TSI přijímá Komise</w:t>
      </w:r>
      <w:r w:rsidR="00A239F7" w:rsidRPr="004C6BC7">
        <w:rPr>
          <w:rFonts w:ascii="Segoe UI" w:hAnsi="Segoe UI" w:cs="Segoe UI"/>
          <w:bCs/>
          <w:color w:val="000000"/>
          <w:sz w:val="23"/>
          <w:szCs w:val="23"/>
        </w:rPr>
        <w:t xml:space="preserve"> na základě návrhů</w:t>
      </w:r>
      <w:r w:rsidR="00006A2B" w:rsidRPr="004C6BC7">
        <w:rPr>
          <w:rFonts w:ascii="Segoe UI" w:hAnsi="Segoe UI" w:cs="Segoe UI"/>
          <w:bCs/>
          <w:color w:val="000000"/>
          <w:sz w:val="23"/>
          <w:szCs w:val="23"/>
        </w:rPr>
        <w:t xml:space="preserve"> Agentury EU pro železnice (dále též jen jako</w:t>
      </w:r>
      <w:r w:rsidR="00A239F7" w:rsidRPr="004C6BC7">
        <w:rPr>
          <w:rFonts w:ascii="Segoe UI" w:hAnsi="Segoe UI" w:cs="Segoe UI"/>
          <w:bCs/>
          <w:color w:val="000000"/>
          <w:sz w:val="23"/>
          <w:szCs w:val="23"/>
        </w:rPr>
        <w:t xml:space="preserve"> </w:t>
      </w:r>
      <w:r w:rsidR="00006A2B" w:rsidRPr="004C6BC7">
        <w:rPr>
          <w:rFonts w:ascii="Segoe UI" w:hAnsi="Segoe UI" w:cs="Segoe UI"/>
          <w:bCs/>
          <w:color w:val="000000"/>
          <w:sz w:val="23"/>
          <w:szCs w:val="23"/>
        </w:rPr>
        <w:t>„</w:t>
      </w:r>
      <w:r w:rsidR="00A239F7" w:rsidRPr="004C6BC7">
        <w:rPr>
          <w:rFonts w:ascii="Segoe UI" w:hAnsi="Segoe UI" w:cs="Segoe UI"/>
          <w:bCs/>
          <w:color w:val="000000"/>
          <w:sz w:val="23"/>
          <w:szCs w:val="23"/>
        </w:rPr>
        <w:t>ERA</w:t>
      </w:r>
      <w:r w:rsidR="00006A2B" w:rsidRPr="004C6BC7">
        <w:rPr>
          <w:rFonts w:ascii="Segoe UI" w:hAnsi="Segoe UI" w:cs="Segoe UI"/>
          <w:bCs/>
          <w:color w:val="000000"/>
          <w:sz w:val="23"/>
          <w:szCs w:val="23"/>
        </w:rPr>
        <w:t>“)</w:t>
      </w:r>
      <w:r w:rsidRPr="004C6BC7">
        <w:rPr>
          <w:rFonts w:ascii="Segoe UI" w:hAnsi="Segoe UI" w:cs="Segoe UI"/>
          <w:bCs/>
          <w:color w:val="000000"/>
          <w:sz w:val="23"/>
          <w:szCs w:val="23"/>
        </w:rPr>
        <w:t xml:space="preserve">, nikoliv členské státy EU. </w:t>
      </w:r>
      <w:r w:rsidR="00A239F7" w:rsidRPr="004C6BC7">
        <w:rPr>
          <w:rFonts w:ascii="Segoe UI" w:hAnsi="Segoe UI" w:cs="Segoe UI"/>
          <w:bCs/>
          <w:color w:val="000000"/>
          <w:sz w:val="23"/>
          <w:szCs w:val="23"/>
        </w:rPr>
        <w:t>Postoj členských států k obsahu TSI tudíž nemůže být rozhodující. Člens</w:t>
      </w:r>
      <w:r w:rsidR="00EA2DFB" w:rsidRPr="004C6BC7">
        <w:rPr>
          <w:rFonts w:ascii="Segoe UI" w:hAnsi="Segoe UI" w:cs="Segoe UI"/>
          <w:bCs/>
          <w:color w:val="000000"/>
          <w:sz w:val="23"/>
          <w:szCs w:val="23"/>
        </w:rPr>
        <w:t>ké státy toliko poskytují Komisi</w:t>
      </w:r>
      <w:r w:rsidR="00A239F7" w:rsidRPr="004C6BC7">
        <w:rPr>
          <w:rFonts w:ascii="Segoe UI" w:hAnsi="Segoe UI" w:cs="Segoe UI"/>
          <w:bCs/>
          <w:color w:val="000000"/>
          <w:sz w:val="23"/>
          <w:szCs w:val="23"/>
        </w:rPr>
        <w:t xml:space="preserve">, resp. ERA potřebné údaje podle čl. 5 odst. 3 IOP směrnice. ERA při legislativním procesu konzultuje </w:t>
      </w:r>
      <w:r w:rsidR="00574C40" w:rsidRPr="004C6BC7">
        <w:rPr>
          <w:rFonts w:ascii="Segoe UI" w:hAnsi="Segoe UI" w:cs="Segoe UI"/>
          <w:bCs/>
          <w:color w:val="000000"/>
          <w:sz w:val="23"/>
          <w:szCs w:val="23"/>
        </w:rPr>
        <w:t xml:space="preserve">podle čl. 5 odst. 7 IOP směrnice </w:t>
      </w:r>
      <w:r w:rsidR="00A239F7" w:rsidRPr="004C6BC7">
        <w:rPr>
          <w:rFonts w:ascii="Segoe UI" w:hAnsi="Segoe UI" w:cs="Segoe UI"/>
          <w:bCs/>
          <w:color w:val="000000"/>
          <w:sz w:val="23"/>
          <w:szCs w:val="23"/>
        </w:rPr>
        <w:t xml:space="preserve">sdružení a subjekty zastupující uživatele. </w:t>
      </w:r>
      <w:r w:rsidR="004C6BC7">
        <w:rPr>
          <w:rFonts w:ascii="Segoe UI" w:hAnsi="Segoe UI" w:cs="Segoe UI"/>
          <w:bCs/>
          <w:color w:val="000000"/>
          <w:sz w:val="23"/>
          <w:szCs w:val="23"/>
        </w:rPr>
        <w:t xml:space="preserve">Je proto žádoucí, ab </w:t>
      </w:r>
      <w:proofErr w:type="gramStart"/>
      <w:r w:rsidR="004C6BC7">
        <w:rPr>
          <w:rFonts w:ascii="Segoe UI" w:hAnsi="Segoe UI" w:cs="Segoe UI"/>
          <w:bCs/>
          <w:color w:val="000000"/>
          <w:sz w:val="23"/>
          <w:szCs w:val="23"/>
        </w:rPr>
        <w:t xml:space="preserve">jak  </w:t>
      </w:r>
      <w:r w:rsidR="00A239F7" w:rsidRPr="004C6BC7">
        <w:rPr>
          <w:rFonts w:ascii="Segoe UI" w:hAnsi="Segoe UI" w:cs="Segoe UI"/>
          <w:b/>
          <w:bCs/>
          <w:color w:val="000000"/>
          <w:sz w:val="23"/>
          <w:szCs w:val="23"/>
        </w:rPr>
        <w:t>Ž</w:t>
      </w:r>
      <w:r w:rsidR="004C6BC7">
        <w:rPr>
          <w:rFonts w:ascii="Segoe UI" w:hAnsi="Segoe UI" w:cs="Segoe UI"/>
          <w:b/>
          <w:bCs/>
          <w:color w:val="000000"/>
          <w:sz w:val="23"/>
          <w:szCs w:val="23"/>
        </w:rPr>
        <w:t>ESNAD.CZ</w:t>
      </w:r>
      <w:proofErr w:type="gramEnd"/>
      <w:r w:rsid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, tak jeho členové, </w:t>
      </w:r>
      <w:r w:rsidR="00A239F7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 by</w:t>
      </w:r>
      <w:r w:rsidR="004C6BC7">
        <w:rPr>
          <w:rFonts w:ascii="Segoe UI" w:hAnsi="Segoe UI" w:cs="Segoe UI"/>
          <w:b/>
          <w:bCs/>
          <w:color w:val="000000"/>
          <w:sz w:val="23"/>
          <w:szCs w:val="23"/>
        </w:rPr>
        <w:t>li</w:t>
      </w:r>
      <w:r w:rsidR="00A239F7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 takovým</w:t>
      </w:r>
      <w:r w:rsidR="004C6BC7">
        <w:rPr>
          <w:rFonts w:ascii="Segoe UI" w:hAnsi="Segoe UI" w:cs="Segoe UI"/>
          <w:b/>
          <w:bCs/>
          <w:color w:val="000000"/>
          <w:sz w:val="23"/>
          <w:szCs w:val="23"/>
        </w:rPr>
        <w:t>i</w:t>
      </w:r>
      <w:r w:rsidR="00A239F7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 subjekt</w:t>
      </w:r>
      <w:r w:rsidR="004C6BC7">
        <w:rPr>
          <w:rFonts w:ascii="Segoe UI" w:hAnsi="Segoe UI" w:cs="Segoe UI"/>
          <w:b/>
          <w:bCs/>
          <w:color w:val="000000"/>
          <w:sz w:val="23"/>
          <w:szCs w:val="23"/>
        </w:rPr>
        <w:t>y</w:t>
      </w:r>
      <w:r w:rsidR="00A239F7" w:rsidRPr="004C6BC7">
        <w:rPr>
          <w:rFonts w:ascii="Segoe UI" w:hAnsi="Segoe UI" w:cs="Segoe UI"/>
          <w:b/>
          <w:bCs/>
          <w:color w:val="000000"/>
          <w:sz w:val="23"/>
          <w:szCs w:val="23"/>
        </w:rPr>
        <w:t>, jež se bud</w:t>
      </w:r>
      <w:r w:rsidR="004C6BC7">
        <w:rPr>
          <w:rFonts w:ascii="Segoe UI" w:hAnsi="Segoe UI" w:cs="Segoe UI"/>
          <w:b/>
          <w:bCs/>
          <w:color w:val="000000"/>
          <w:sz w:val="23"/>
          <w:szCs w:val="23"/>
        </w:rPr>
        <w:t>ou</w:t>
      </w:r>
      <w:r w:rsidR="00A239F7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 moci k příslušné novelizaci TSI týkající se DAS, i jiných novelizací týkajících se nákladní dopravy.</w:t>
      </w:r>
    </w:p>
    <w:p w14:paraId="58C5A5B3" w14:textId="77777777" w:rsidR="00A239F7" w:rsidRDefault="00A239F7" w:rsidP="00E774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Cs/>
          <w:color w:val="000000"/>
          <w:sz w:val="23"/>
          <w:szCs w:val="23"/>
        </w:rPr>
      </w:pPr>
    </w:p>
    <w:p w14:paraId="3172A1FD" w14:textId="34ED1D41" w:rsidR="00A239F7" w:rsidRPr="004C6BC7" w:rsidRDefault="00A239F7" w:rsidP="004C6B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3"/>
          <w:szCs w:val="23"/>
        </w:rPr>
      </w:pPr>
      <w:r w:rsidRPr="004C6BC7">
        <w:rPr>
          <w:rFonts w:ascii="Segoe UI" w:hAnsi="Segoe UI" w:cs="Segoe UI"/>
          <w:b/>
          <w:bCs/>
          <w:color w:val="000000"/>
          <w:sz w:val="23"/>
          <w:szCs w:val="23"/>
        </w:rPr>
        <w:t>Ž</w:t>
      </w:r>
      <w:r w:rsidR="004C6BC7"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ESNAD.CZ a jeho členové </w:t>
      </w:r>
      <w:r w:rsidRPr="004C6BC7">
        <w:rPr>
          <w:rFonts w:ascii="Segoe UI" w:hAnsi="Segoe UI" w:cs="Segoe UI"/>
          <w:b/>
          <w:bCs/>
          <w:color w:val="000000"/>
          <w:sz w:val="23"/>
          <w:szCs w:val="23"/>
        </w:rPr>
        <w:t>by měl</w:t>
      </w:r>
      <w:r w:rsidR="004C6BC7" w:rsidRPr="004C6BC7">
        <w:rPr>
          <w:rFonts w:ascii="Segoe UI" w:hAnsi="Segoe UI" w:cs="Segoe UI"/>
          <w:b/>
          <w:bCs/>
          <w:color w:val="000000"/>
          <w:sz w:val="23"/>
          <w:szCs w:val="23"/>
        </w:rPr>
        <w:t>i</w:t>
      </w:r>
      <w:r w:rsidRPr="004C6BC7">
        <w:rPr>
          <w:rFonts w:ascii="Segoe UI" w:hAnsi="Segoe UI" w:cs="Segoe UI"/>
          <w:b/>
          <w:bCs/>
          <w:color w:val="000000"/>
          <w:sz w:val="23"/>
          <w:szCs w:val="23"/>
        </w:rPr>
        <w:t xml:space="preserve"> současně sladit svůj postup s organizacemi zákazníků nákladní dopravy, se kterými se podle čl. 7 nařízení EP a Rady 2016/796 o Agentuře EU pro železnice a podle čl. 5 odst. 8 IOP směrnice vedou konzultace o novelizaci TSI. </w:t>
      </w:r>
    </w:p>
    <w:p w14:paraId="15BD3836" w14:textId="77777777" w:rsidR="00502630" w:rsidRPr="00502630" w:rsidRDefault="00502630" w:rsidP="00502630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color w:val="000000"/>
          <w:sz w:val="23"/>
          <w:szCs w:val="23"/>
        </w:rPr>
      </w:pPr>
    </w:p>
    <w:p w14:paraId="1722262B" w14:textId="77777777" w:rsidR="00AA7850" w:rsidRDefault="00AA7850" w:rsidP="00AA78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3"/>
          <w:szCs w:val="23"/>
          <w:u w:val="single"/>
        </w:rPr>
      </w:pPr>
      <w:r w:rsidRPr="00AA7850">
        <w:rPr>
          <w:rFonts w:ascii="Segoe UI" w:hAnsi="Segoe UI" w:cs="Segoe UI"/>
          <w:b/>
          <w:color w:val="000000"/>
          <w:sz w:val="23"/>
          <w:szCs w:val="23"/>
          <w:u w:val="single"/>
        </w:rPr>
        <w:t>Princip subsidiarity</w:t>
      </w:r>
    </w:p>
    <w:p w14:paraId="141EFC17" w14:textId="77777777" w:rsidR="00AA7850" w:rsidRDefault="00AA7850" w:rsidP="00AA7850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color w:val="000000"/>
          <w:sz w:val="23"/>
          <w:szCs w:val="23"/>
          <w:u w:val="single"/>
        </w:rPr>
      </w:pPr>
    </w:p>
    <w:p w14:paraId="03B9C83D" w14:textId="276CAC14" w:rsidR="00AA7850" w:rsidRPr="004C6BC7" w:rsidRDefault="00AA7850" w:rsidP="004C6BC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u w:val="single"/>
        </w:rPr>
      </w:pPr>
      <w:r w:rsidRPr="004C6BC7">
        <w:rPr>
          <w:rFonts w:ascii="Segoe UI" w:hAnsi="Segoe UI" w:cs="Segoe UI"/>
          <w:color w:val="000000"/>
          <w:sz w:val="23"/>
          <w:szCs w:val="23"/>
        </w:rPr>
        <w:t>V předložené prezentaci, ani</w:t>
      </w:r>
      <w:r w:rsidR="00574C40" w:rsidRPr="004C6BC7">
        <w:rPr>
          <w:rFonts w:ascii="Segoe UI" w:hAnsi="Segoe UI" w:cs="Segoe UI"/>
          <w:color w:val="000000"/>
          <w:sz w:val="23"/>
          <w:szCs w:val="23"/>
        </w:rPr>
        <w:t xml:space="preserve"> v jiných dokumentech nebylo </w:t>
      </w:r>
      <w:r w:rsidR="004C6BC7">
        <w:rPr>
          <w:rFonts w:ascii="Segoe UI" w:hAnsi="Segoe UI" w:cs="Segoe UI"/>
          <w:color w:val="000000"/>
          <w:sz w:val="23"/>
          <w:szCs w:val="23"/>
        </w:rPr>
        <w:t xml:space="preserve">zatím </w:t>
      </w:r>
      <w:proofErr w:type="gramStart"/>
      <w:r w:rsidR="004C6BC7">
        <w:rPr>
          <w:rFonts w:ascii="Segoe UI" w:hAnsi="Segoe UI" w:cs="Segoe UI"/>
          <w:color w:val="000000"/>
          <w:sz w:val="23"/>
          <w:szCs w:val="23"/>
        </w:rPr>
        <w:t xml:space="preserve">nijak </w:t>
      </w:r>
      <w:r w:rsidR="00574C40" w:rsidRPr="004C6BC7">
        <w:rPr>
          <w:rFonts w:ascii="Segoe UI" w:hAnsi="Segoe UI" w:cs="Segoe UI"/>
          <w:color w:val="000000"/>
          <w:sz w:val="23"/>
          <w:szCs w:val="23"/>
        </w:rPr>
        <w:t xml:space="preserve"> prokázáno</w:t>
      </w:r>
      <w:proofErr w:type="gramEnd"/>
      <w:r w:rsidRPr="004C6BC7">
        <w:rPr>
          <w:rFonts w:ascii="Segoe UI" w:hAnsi="Segoe UI" w:cs="Segoe UI"/>
          <w:color w:val="000000"/>
          <w:sz w:val="23"/>
          <w:szCs w:val="23"/>
        </w:rPr>
        <w:t xml:space="preserve">, že úprava DSA cestou IOP směrnice, resp. TSI je nezbytná a že by deklarovaných cílů nebylo možné dosáhnout stejně efektivně nebo i efektivněji jinak, a proto je </w:t>
      </w:r>
      <w:r w:rsidRPr="004C6BC7">
        <w:rPr>
          <w:rFonts w:ascii="Segoe UI" w:hAnsi="Segoe UI" w:cs="Segoe UI"/>
          <w:color w:val="000000"/>
          <w:sz w:val="23"/>
          <w:szCs w:val="23"/>
        </w:rPr>
        <w:lastRenderedPageBreak/>
        <w:t>nutná novelizace TSI.</w:t>
      </w:r>
      <w:r w:rsidR="00574C40" w:rsidRPr="004C6BC7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574C40" w:rsidRPr="004C6BC7">
        <w:rPr>
          <w:rFonts w:ascii="Segoe UI" w:hAnsi="Segoe UI" w:cs="Segoe UI"/>
          <w:color w:val="000000"/>
          <w:sz w:val="23"/>
          <w:szCs w:val="23"/>
          <w:u w:val="single"/>
        </w:rPr>
        <w:t xml:space="preserve">Není tedy zřejmé, zda by úprava DSA v TSI byla v souladu s principem subsidiarity. </w:t>
      </w:r>
    </w:p>
    <w:p w14:paraId="09438363" w14:textId="77777777" w:rsidR="00AA7850" w:rsidRDefault="00AA7850" w:rsidP="00AA78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7E141B6B" w14:textId="055FD48B" w:rsidR="00AA7850" w:rsidRPr="004C6BC7" w:rsidRDefault="00AA7850" w:rsidP="004C6BC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3"/>
          <w:szCs w:val="23"/>
          <w:shd w:val="clear" w:color="auto" w:fill="FFFFFF"/>
        </w:rPr>
      </w:pPr>
      <w:r w:rsidRPr="004C6BC7">
        <w:rPr>
          <w:rFonts w:ascii="Segoe UI" w:hAnsi="Segoe UI" w:cs="Segoe UI"/>
          <w:b/>
          <w:color w:val="000000"/>
          <w:sz w:val="23"/>
          <w:szCs w:val="23"/>
        </w:rPr>
        <w:t xml:space="preserve">Nutno </w:t>
      </w:r>
      <w:r w:rsidR="00574C40" w:rsidRPr="004C6BC7">
        <w:rPr>
          <w:rFonts w:ascii="Segoe UI" w:hAnsi="Segoe UI" w:cs="Segoe UI"/>
          <w:b/>
          <w:color w:val="000000"/>
          <w:sz w:val="23"/>
          <w:szCs w:val="23"/>
        </w:rPr>
        <w:t>tudíž</w:t>
      </w:r>
      <w:r w:rsidRPr="004C6BC7">
        <w:rPr>
          <w:rFonts w:ascii="Segoe UI" w:hAnsi="Segoe UI" w:cs="Segoe UI"/>
          <w:b/>
          <w:color w:val="000000"/>
          <w:sz w:val="23"/>
          <w:szCs w:val="23"/>
        </w:rPr>
        <w:t xml:space="preserve"> prokázat, že cílů sledovaných úpravou DSA v TSI by nebylo možné stejně dobře nebo lépe dosáhnout</w:t>
      </w:r>
      <w:r w:rsidR="00F27951" w:rsidRPr="004C6BC7">
        <w:rPr>
          <w:rFonts w:ascii="Segoe UI" w:hAnsi="Segoe UI" w:cs="Segoe UI"/>
          <w:b/>
          <w:color w:val="000000"/>
          <w:sz w:val="23"/>
          <w:szCs w:val="23"/>
        </w:rPr>
        <w:t xml:space="preserve"> jinak,</w:t>
      </w:r>
      <w:r w:rsidRPr="004C6BC7">
        <w:rPr>
          <w:rFonts w:ascii="Segoe UI" w:hAnsi="Segoe UI" w:cs="Segoe UI"/>
          <w:b/>
          <w:color w:val="000000"/>
          <w:sz w:val="23"/>
          <w:szCs w:val="23"/>
        </w:rPr>
        <w:t xml:space="preserve"> </w:t>
      </w:r>
      <w:r w:rsidR="00574C40" w:rsidRPr="004C6BC7">
        <w:rPr>
          <w:rFonts w:ascii="Segoe UI" w:hAnsi="Segoe UI" w:cs="Segoe UI"/>
          <w:b/>
          <w:color w:val="000000"/>
          <w:sz w:val="23"/>
          <w:szCs w:val="23"/>
        </w:rPr>
        <w:t xml:space="preserve">např. </w:t>
      </w:r>
      <w:r w:rsidRPr="004C6BC7">
        <w:rPr>
          <w:rFonts w:ascii="Segoe UI" w:hAnsi="Segoe UI" w:cs="Segoe UI"/>
          <w:b/>
          <w:color w:val="000000"/>
          <w:sz w:val="23"/>
          <w:szCs w:val="23"/>
        </w:rPr>
        <w:t xml:space="preserve">cestou technických dohod mezi </w:t>
      </w:r>
      <w:r w:rsidR="00CF7AF0" w:rsidRPr="004C6BC7">
        <w:rPr>
          <w:rFonts w:ascii="Segoe UI" w:hAnsi="Segoe UI" w:cs="Segoe UI"/>
          <w:b/>
          <w:color w:val="000000"/>
          <w:sz w:val="23"/>
          <w:szCs w:val="23"/>
        </w:rPr>
        <w:t>dopravci podle čl. 2 odst. 1 písm. a) nařízení Rady (ES) č. 169/2009</w:t>
      </w:r>
      <w:r w:rsidR="008C5327" w:rsidRPr="004C6BC7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8C5327" w:rsidRPr="004C6BC7">
        <w:rPr>
          <w:rFonts w:ascii="Segoe UI" w:hAnsi="Segoe UI" w:cs="Segoe UI"/>
          <w:bCs/>
          <w:color w:val="000000"/>
          <w:sz w:val="23"/>
          <w:szCs w:val="23"/>
          <w:shd w:val="clear" w:color="auto" w:fill="FFFFFF"/>
        </w:rPr>
        <w:t>o uplatňování pravidel hospodářské soutěže v dopravě po železnici, silnici a vnitrozemských vodních cestách.</w:t>
      </w:r>
    </w:p>
    <w:p w14:paraId="5B679C8A" w14:textId="30ED5371" w:rsidR="00812AC6" w:rsidRDefault="00812AC6" w:rsidP="00AA78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17ADE650" w14:textId="77777777" w:rsidR="00664844" w:rsidRDefault="00664844" w:rsidP="00AA78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pro ŽESNAD.CZ </w:t>
      </w:r>
    </w:p>
    <w:p w14:paraId="313509F2" w14:textId="77777777" w:rsidR="00664844" w:rsidRDefault="00664844" w:rsidP="00AA78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1BA6F2D1" w14:textId="2ED04459" w:rsidR="00812AC6" w:rsidRPr="008C5327" w:rsidRDefault="00664844" w:rsidP="00AA78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zpracoval Mgr. </w:t>
      </w:r>
      <w:r w:rsidR="00812AC6">
        <w:rPr>
          <w:rFonts w:ascii="Segoe UI" w:hAnsi="Segoe UI" w:cs="Segoe UI"/>
          <w:color w:val="000000"/>
          <w:sz w:val="23"/>
          <w:szCs w:val="23"/>
        </w:rPr>
        <w:t>T</w:t>
      </w:r>
      <w:r>
        <w:rPr>
          <w:rFonts w:ascii="Segoe UI" w:hAnsi="Segoe UI" w:cs="Segoe UI"/>
          <w:color w:val="000000"/>
          <w:sz w:val="23"/>
          <w:szCs w:val="23"/>
        </w:rPr>
        <w:t>omáš Tyll, advokát  18</w:t>
      </w:r>
      <w:r w:rsidR="00812AC6">
        <w:rPr>
          <w:rFonts w:ascii="Segoe UI" w:hAnsi="Segoe UI" w:cs="Segoe UI"/>
          <w:color w:val="000000"/>
          <w:sz w:val="23"/>
          <w:szCs w:val="23"/>
        </w:rPr>
        <w:t>/V</w:t>
      </w:r>
      <w:r w:rsidR="004C6BC7">
        <w:rPr>
          <w:rFonts w:ascii="Segoe UI" w:hAnsi="Segoe UI" w:cs="Segoe UI"/>
          <w:color w:val="000000"/>
          <w:sz w:val="23"/>
          <w:szCs w:val="23"/>
        </w:rPr>
        <w:t>I</w:t>
      </w:r>
      <w:r w:rsidR="00812AC6">
        <w:rPr>
          <w:rFonts w:ascii="Segoe UI" w:hAnsi="Segoe UI" w:cs="Segoe UI"/>
          <w:color w:val="000000"/>
          <w:sz w:val="23"/>
          <w:szCs w:val="23"/>
        </w:rPr>
        <w:t>/2022</w:t>
      </w:r>
    </w:p>
    <w:p w14:paraId="646CC963" w14:textId="77777777" w:rsidR="00AA7850" w:rsidRPr="00AA7850" w:rsidRDefault="00AA7850" w:rsidP="00AA7850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color w:val="000000"/>
          <w:sz w:val="23"/>
          <w:szCs w:val="23"/>
          <w:u w:val="single"/>
        </w:rPr>
      </w:pPr>
    </w:p>
    <w:sectPr w:rsidR="00AA7850" w:rsidRPr="00AA78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89A5" w14:textId="77777777" w:rsidR="00B545D0" w:rsidRDefault="00B545D0" w:rsidP="00FF3E24">
      <w:pPr>
        <w:spacing w:after="0" w:line="240" w:lineRule="auto"/>
      </w:pPr>
      <w:r>
        <w:separator/>
      </w:r>
    </w:p>
  </w:endnote>
  <w:endnote w:type="continuationSeparator" w:id="0">
    <w:p w14:paraId="310DE38D" w14:textId="77777777" w:rsidR="00B545D0" w:rsidRDefault="00B545D0" w:rsidP="00FF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650656"/>
      <w:docPartObj>
        <w:docPartGallery w:val="Page Numbers (Bottom of Page)"/>
        <w:docPartUnique/>
      </w:docPartObj>
    </w:sdtPr>
    <w:sdtEndPr/>
    <w:sdtContent>
      <w:p w14:paraId="0DB47693" w14:textId="77777777" w:rsidR="00B359E4" w:rsidRDefault="00B359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ACB">
          <w:rPr>
            <w:noProof/>
          </w:rPr>
          <w:t>1</w:t>
        </w:r>
        <w:r>
          <w:fldChar w:fldCharType="end"/>
        </w:r>
      </w:p>
    </w:sdtContent>
  </w:sdt>
  <w:p w14:paraId="5F359AF9" w14:textId="77777777" w:rsidR="00FF3E24" w:rsidRDefault="00FF3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963C" w14:textId="77777777" w:rsidR="00B545D0" w:rsidRDefault="00B545D0" w:rsidP="00FF3E24">
      <w:pPr>
        <w:spacing w:after="0" w:line="240" w:lineRule="auto"/>
      </w:pPr>
      <w:r>
        <w:separator/>
      </w:r>
    </w:p>
  </w:footnote>
  <w:footnote w:type="continuationSeparator" w:id="0">
    <w:p w14:paraId="6010B229" w14:textId="77777777" w:rsidR="00B545D0" w:rsidRDefault="00B545D0" w:rsidP="00FF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AD1"/>
    <w:multiLevelType w:val="hybridMultilevel"/>
    <w:tmpl w:val="A080FE7A"/>
    <w:lvl w:ilvl="0" w:tplc="0DC8F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B6042F"/>
    <w:multiLevelType w:val="hybridMultilevel"/>
    <w:tmpl w:val="EAC42902"/>
    <w:lvl w:ilvl="0" w:tplc="E968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6FD"/>
    <w:multiLevelType w:val="hybridMultilevel"/>
    <w:tmpl w:val="D548C2FA"/>
    <w:lvl w:ilvl="0" w:tplc="16CE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7668"/>
    <w:multiLevelType w:val="hybridMultilevel"/>
    <w:tmpl w:val="EF68EE5E"/>
    <w:lvl w:ilvl="0" w:tplc="82B6F2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1F3F9C"/>
    <w:multiLevelType w:val="hybridMultilevel"/>
    <w:tmpl w:val="FE941B50"/>
    <w:lvl w:ilvl="0" w:tplc="165049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6646DC"/>
    <w:multiLevelType w:val="hybridMultilevel"/>
    <w:tmpl w:val="EBEA2B80"/>
    <w:lvl w:ilvl="0" w:tplc="A824FB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042BBA"/>
    <w:multiLevelType w:val="hybridMultilevel"/>
    <w:tmpl w:val="B726D3B4"/>
    <w:lvl w:ilvl="0" w:tplc="189457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8A6921"/>
    <w:multiLevelType w:val="hybridMultilevel"/>
    <w:tmpl w:val="71F659FE"/>
    <w:lvl w:ilvl="0" w:tplc="BBF658C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F56B1"/>
    <w:multiLevelType w:val="hybridMultilevel"/>
    <w:tmpl w:val="4934B26C"/>
    <w:lvl w:ilvl="0" w:tplc="B66618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51535647">
    <w:abstractNumId w:val="1"/>
  </w:num>
  <w:num w:numId="2" w16cid:durableId="1124345244">
    <w:abstractNumId w:val="0"/>
  </w:num>
  <w:num w:numId="3" w16cid:durableId="1705249380">
    <w:abstractNumId w:val="3"/>
  </w:num>
  <w:num w:numId="4" w16cid:durableId="1887639361">
    <w:abstractNumId w:val="5"/>
  </w:num>
  <w:num w:numId="5" w16cid:durableId="1365134980">
    <w:abstractNumId w:val="8"/>
  </w:num>
  <w:num w:numId="6" w16cid:durableId="2045131169">
    <w:abstractNumId w:val="4"/>
  </w:num>
  <w:num w:numId="7" w16cid:durableId="1539465158">
    <w:abstractNumId w:val="2"/>
  </w:num>
  <w:num w:numId="8" w16cid:durableId="140082417">
    <w:abstractNumId w:val="6"/>
  </w:num>
  <w:num w:numId="9" w16cid:durableId="300234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07"/>
    <w:rsid w:val="00006A2B"/>
    <w:rsid w:val="000313CE"/>
    <w:rsid w:val="000A1185"/>
    <w:rsid w:val="00104DC3"/>
    <w:rsid w:val="001245EB"/>
    <w:rsid w:val="001F2675"/>
    <w:rsid w:val="001F28C4"/>
    <w:rsid w:val="002050F1"/>
    <w:rsid w:val="002E7EF1"/>
    <w:rsid w:val="003273A1"/>
    <w:rsid w:val="00357CC4"/>
    <w:rsid w:val="003642BC"/>
    <w:rsid w:val="00365ACB"/>
    <w:rsid w:val="003F789E"/>
    <w:rsid w:val="004678B9"/>
    <w:rsid w:val="004C6BC7"/>
    <w:rsid w:val="00502630"/>
    <w:rsid w:val="00507739"/>
    <w:rsid w:val="00574C40"/>
    <w:rsid w:val="005B282F"/>
    <w:rsid w:val="006065C9"/>
    <w:rsid w:val="0064747D"/>
    <w:rsid w:val="00664844"/>
    <w:rsid w:val="00666045"/>
    <w:rsid w:val="00666D5B"/>
    <w:rsid w:val="006A5D66"/>
    <w:rsid w:val="006A6007"/>
    <w:rsid w:val="006A7D11"/>
    <w:rsid w:val="0070471F"/>
    <w:rsid w:val="00722A3C"/>
    <w:rsid w:val="00725077"/>
    <w:rsid w:val="00785856"/>
    <w:rsid w:val="00812AC6"/>
    <w:rsid w:val="0083653A"/>
    <w:rsid w:val="00881CE2"/>
    <w:rsid w:val="00886AED"/>
    <w:rsid w:val="008C5327"/>
    <w:rsid w:val="00905838"/>
    <w:rsid w:val="00926446"/>
    <w:rsid w:val="00973CA5"/>
    <w:rsid w:val="00A239F7"/>
    <w:rsid w:val="00AA7850"/>
    <w:rsid w:val="00AB57ED"/>
    <w:rsid w:val="00B21197"/>
    <w:rsid w:val="00B2527F"/>
    <w:rsid w:val="00B359E4"/>
    <w:rsid w:val="00B46CCA"/>
    <w:rsid w:val="00B545D0"/>
    <w:rsid w:val="00BD656A"/>
    <w:rsid w:val="00C507D9"/>
    <w:rsid w:val="00CF7AF0"/>
    <w:rsid w:val="00D07ACB"/>
    <w:rsid w:val="00D145CD"/>
    <w:rsid w:val="00D14F33"/>
    <w:rsid w:val="00D77045"/>
    <w:rsid w:val="00DB78E7"/>
    <w:rsid w:val="00E77437"/>
    <w:rsid w:val="00EA2DFB"/>
    <w:rsid w:val="00EF5543"/>
    <w:rsid w:val="00F12B07"/>
    <w:rsid w:val="00F27951"/>
    <w:rsid w:val="00F470CB"/>
    <w:rsid w:val="00FD653D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03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0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E24"/>
  </w:style>
  <w:style w:type="paragraph" w:styleId="Zpat">
    <w:name w:val="footer"/>
    <w:basedOn w:val="Normln"/>
    <w:link w:val="ZpatChar"/>
    <w:uiPriority w:val="99"/>
    <w:unhideWhenUsed/>
    <w:rsid w:val="00FF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E24"/>
  </w:style>
  <w:style w:type="paragraph" w:customStyle="1" w:styleId="doc-ti">
    <w:name w:val="doc-ti"/>
    <w:basedOn w:val="Normln"/>
    <w:rsid w:val="005B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2022-06-17T12:03:00Z</dcterms:created>
  <dcterms:modified xsi:type="dcterms:W3CDTF">2022-06-17T12:03:00Z</dcterms:modified>
</cp:coreProperties>
</file>