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EB" w:rsidRPr="00125783" w:rsidRDefault="006809EB" w:rsidP="00D27755">
      <w:pPr>
        <w:tabs>
          <w:tab w:val="right" w:pos="8820"/>
        </w:tabs>
        <w:spacing w:after="0"/>
        <w:jc w:val="right"/>
        <w:rPr>
          <w:rFonts w:ascii="Arial" w:hAnsi="Arial" w:cs="Arial"/>
          <w:b/>
          <w:color w:val="002060"/>
          <w:sz w:val="24"/>
          <w:szCs w:val="24"/>
        </w:rPr>
      </w:pPr>
      <w:r w:rsidRPr="00125783">
        <w:rPr>
          <w:rFonts w:ascii="Arial" w:hAnsi="Arial" w:cs="Arial"/>
          <w:b/>
          <w:sz w:val="24"/>
          <w:szCs w:val="24"/>
        </w:rPr>
        <w:t>II.</w:t>
      </w:r>
    </w:p>
    <w:p w:rsidR="0063323D" w:rsidRPr="00125783" w:rsidRDefault="00367377" w:rsidP="00125783">
      <w:pPr>
        <w:spacing w:before="240" w:after="0" w:line="240" w:lineRule="auto"/>
        <w:jc w:val="center"/>
        <w:rPr>
          <w:rFonts w:ascii="Arial" w:hAnsi="Arial" w:cs="Arial"/>
          <w:b/>
          <w:color w:val="002060"/>
          <w:sz w:val="28"/>
          <w:szCs w:val="28"/>
        </w:rPr>
      </w:pPr>
      <w:r w:rsidRPr="00125783">
        <w:rPr>
          <w:rFonts w:ascii="Arial" w:hAnsi="Arial" w:cs="Arial"/>
          <w:b/>
          <w:color w:val="002060"/>
          <w:sz w:val="28"/>
          <w:szCs w:val="28"/>
        </w:rPr>
        <w:t>Návrh variant řešení pr</w:t>
      </w:r>
      <w:r w:rsidR="00125783" w:rsidRPr="00125783">
        <w:rPr>
          <w:rFonts w:ascii="Arial" w:hAnsi="Arial" w:cs="Arial"/>
          <w:b/>
          <w:color w:val="002060"/>
          <w:sz w:val="28"/>
          <w:szCs w:val="28"/>
        </w:rPr>
        <w:t xml:space="preserve">o další postup v oblasti státem </w:t>
      </w:r>
      <w:r w:rsidRPr="00125783">
        <w:rPr>
          <w:rFonts w:ascii="Arial" w:hAnsi="Arial" w:cs="Arial"/>
          <w:b/>
          <w:color w:val="002060"/>
          <w:sz w:val="28"/>
          <w:szCs w:val="28"/>
        </w:rPr>
        <w:t>nařízených slev z jízdného ve veřejné osobní dopravě</w:t>
      </w:r>
    </w:p>
    <w:p w:rsidR="00E70A96" w:rsidRDefault="00E70A96" w:rsidP="00245E76">
      <w:pPr>
        <w:spacing w:after="120" w:line="240" w:lineRule="auto"/>
        <w:jc w:val="center"/>
        <w:rPr>
          <w:rFonts w:ascii="Arial" w:hAnsi="Arial" w:cs="Arial"/>
          <w:b/>
          <w:color w:val="002060"/>
          <w:sz w:val="24"/>
          <w:szCs w:val="24"/>
        </w:rPr>
      </w:pPr>
    </w:p>
    <w:p w:rsidR="00125783" w:rsidRPr="00125783" w:rsidRDefault="00125783" w:rsidP="00245E76">
      <w:pPr>
        <w:spacing w:after="120" w:line="240" w:lineRule="auto"/>
        <w:jc w:val="center"/>
        <w:rPr>
          <w:rFonts w:ascii="Arial" w:hAnsi="Arial" w:cs="Arial"/>
          <w:b/>
          <w:color w:val="002060"/>
          <w:sz w:val="24"/>
          <w:szCs w:val="24"/>
        </w:rPr>
      </w:pPr>
    </w:p>
    <w:p w:rsidR="009E04C6" w:rsidRPr="00125783" w:rsidRDefault="003445EC" w:rsidP="00306691">
      <w:pPr>
        <w:tabs>
          <w:tab w:val="left" w:pos="567"/>
        </w:tabs>
        <w:spacing w:after="120" w:line="240" w:lineRule="auto"/>
        <w:jc w:val="both"/>
        <w:rPr>
          <w:rFonts w:ascii="Arial" w:hAnsi="Arial" w:cs="Arial"/>
          <w:b/>
          <w:color w:val="002060"/>
        </w:rPr>
      </w:pPr>
      <w:r w:rsidRPr="00125783">
        <w:rPr>
          <w:rFonts w:ascii="Arial" w:hAnsi="Arial" w:cs="Arial"/>
          <w:b/>
          <w:color w:val="002060"/>
        </w:rPr>
        <w:t xml:space="preserve">1 </w:t>
      </w:r>
      <w:r w:rsidRPr="00125783">
        <w:rPr>
          <w:rFonts w:ascii="Arial" w:hAnsi="Arial" w:cs="Arial"/>
          <w:b/>
          <w:color w:val="002060"/>
        </w:rPr>
        <w:tab/>
      </w:r>
      <w:r w:rsidR="009E04C6" w:rsidRPr="00125783">
        <w:rPr>
          <w:rFonts w:ascii="Arial" w:hAnsi="Arial" w:cs="Arial"/>
          <w:b/>
          <w:color w:val="002060"/>
        </w:rPr>
        <w:t xml:space="preserve">Vývoj </w:t>
      </w:r>
      <w:r w:rsidR="001C625C" w:rsidRPr="00125783">
        <w:rPr>
          <w:rFonts w:ascii="Arial" w:hAnsi="Arial" w:cs="Arial"/>
          <w:b/>
          <w:color w:val="002060"/>
        </w:rPr>
        <w:t>právní a věcné úpravy</w:t>
      </w:r>
      <w:r w:rsidR="009E04C6" w:rsidRPr="00125783">
        <w:rPr>
          <w:rFonts w:ascii="Arial" w:hAnsi="Arial" w:cs="Arial"/>
          <w:b/>
          <w:color w:val="002060"/>
        </w:rPr>
        <w:t xml:space="preserve"> v oblasti slev</w:t>
      </w:r>
    </w:p>
    <w:p w:rsidR="00945417" w:rsidRPr="00125783" w:rsidRDefault="003445EC" w:rsidP="00306691">
      <w:pPr>
        <w:tabs>
          <w:tab w:val="left" w:pos="567"/>
        </w:tabs>
        <w:spacing w:after="120" w:line="240" w:lineRule="auto"/>
        <w:jc w:val="both"/>
        <w:rPr>
          <w:rFonts w:ascii="Arial" w:hAnsi="Arial" w:cs="Arial"/>
          <w:b/>
          <w:color w:val="002060"/>
        </w:rPr>
      </w:pPr>
      <w:r w:rsidRPr="00125783">
        <w:rPr>
          <w:rFonts w:ascii="Arial" w:hAnsi="Arial" w:cs="Arial"/>
          <w:b/>
          <w:color w:val="002060"/>
        </w:rPr>
        <w:t xml:space="preserve">1.1. </w:t>
      </w:r>
      <w:r w:rsidRPr="00125783">
        <w:rPr>
          <w:rFonts w:ascii="Arial" w:hAnsi="Arial" w:cs="Arial"/>
          <w:b/>
          <w:color w:val="002060"/>
        </w:rPr>
        <w:tab/>
      </w:r>
      <w:r w:rsidR="00945417" w:rsidRPr="00125783">
        <w:rPr>
          <w:rFonts w:ascii="Arial" w:hAnsi="Arial" w:cs="Arial"/>
          <w:b/>
          <w:color w:val="002060"/>
        </w:rPr>
        <w:t>Právní základ</w:t>
      </w:r>
    </w:p>
    <w:p w:rsidR="00E70A96" w:rsidRPr="00125783" w:rsidRDefault="00E70A96"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Pro oblast nařizován</w:t>
      </w:r>
      <w:r w:rsidR="00CF5490" w:rsidRPr="00125783">
        <w:rPr>
          <w:rFonts w:ascii="Arial" w:hAnsi="Arial" w:cs="Arial"/>
        </w:rPr>
        <w:t>í</w:t>
      </w:r>
      <w:r w:rsidRPr="00125783">
        <w:rPr>
          <w:rFonts w:ascii="Arial" w:hAnsi="Arial" w:cs="Arial"/>
        </w:rPr>
        <w:t xml:space="preserve"> slev ve veřejné dopravě je důležitým právním východiskem, že</w:t>
      </w:r>
      <w:r w:rsidR="00820ECA">
        <w:rPr>
          <w:rFonts w:ascii="Arial" w:hAnsi="Arial" w:cs="Arial"/>
        </w:rPr>
        <w:t> </w:t>
      </w:r>
      <w:r w:rsidRPr="00125783">
        <w:rPr>
          <w:rFonts w:ascii="Arial" w:hAnsi="Arial" w:cs="Arial"/>
        </w:rPr>
        <w:t xml:space="preserve">podle </w:t>
      </w:r>
      <w:r w:rsidR="00CF5490" w:rsidRPr="00125783">
        <w:rPr>
          <w:rFonts w:ascii="Arial" w:hAnsi="Arial" w:cs="Arial"/>
        </w:rPr>
        <w:t>unijního práva</w:t>
      </w:r>
      <w:r w:rsidR="00CF5490" w:rsidRPr="00125783">
        <w:rPr>
          <w:rStyle w:val="Znakapoznpodarou"/>
          <w:rFonts w:ascii="Arial" w:hAnsi="Arial" w:cs="Arial"/>
        </w:rPr>
        <w:footnoteReference w:id="1"/>
      </w:r>
      <w:r w:rsidRPr="00125783">
        <w:rPr>
          <w:rFonts w:ascii="Arial" w:hAnsi="Arial" w:cs="Arial"/>
        </w:rPr>
        <w:t xml:space="preserve">, které upravuje pravidla postupu objednatelů ve veřejné dopravě, může veřejná správa nařídit tzv. obecná pravidla. Obecné pravidlo je podle unijního práva </w:t>
      </w:r>
      <w:r w:rsidRPr="00125783">
        <w:rPr>
          <w:rFonts w:ascii="Arial" w:hAnsi="Arial" w:cs="Arial"/>
          <w:i/>
        </w:rPr>
        <w:t>„opatření, které se nediskriminačním způsobem použije na</w:t>
      </w:r>
      <w:r w:rsidR="00125783" w:rsidRPr="00125783">
        <w:rPr>
          <w:rFonts w:ascii="Arial" w:hAnsi="Arial" w:cs="Arial"/>
          <w:i/>
        </w:rPr>
        <w:t> </w:t>
      </w:r>
      <w:r w:rsidRPr="00125783">
        <w:rPr>
          <w:rFonts w:ascii="Arial" w:hAnsi="Arial" w:cs="Arial"/>
          <w:i/>
        </w:rPr>
        <w:t>všechny veřejné služby v přepravě cestujících stejného druhu ve stanovené územní oblasti, za kterou odpovídá příslušný orgán</w:t>
      </w:r>
      <w:r w:rsidR="00CF5490" w:rsidRPr="00125783">
        <w:rPr>
          <w:rFonts w:ascii="Arial" w:hAnsi="Arial" w:cs="Arial"/>
          <w:i/>
        </w:rPr>
        <w:t>.</w:t>
      </w:r>
      <w:r w:rsidRPr="00125783">
        <w:rPr>
          <w:rFonts w:ascii="Arial" w:hAnsi="Arial" w:cs="Arial"/>
          <w:i/>
        </w:rPr>
        <w:t>“</w:t>
      </w:r>
      <w:r w:rsidRPr="00125783">
        <w:rPr>
          <w:rFonts w:ascii="Arial" w:hAnsi="Arial" w:cs="Arial"/>
        </w:rPr>
        <w:t xml:space="preserve"> T</w:t>
      </w:r>
      <w:r w:rsidR="00CF5490" w:rsidRPr="00125783">
        <w:rPr>
          <w:rFonts w:ascii="Arial" w:hAnsi="Arial" w:cs="Arial"/>
        </w:rPr>
        <w:t>ypickým obecným pravidlem v oblasti veřejné dopravy jsou</w:t>
      </w:r>
      <w:r w:rsidRPr="00125783">
        <w:rPr>
          <w:rFonts w:ascii="Arial" w:hAnsi="Arial" w:cs="Arial"/>
        </w:rPr>
        <w:t xml:space="preserve"> právě </w:t>
      </w:r>
      <w:r w:rsidR="00CF5490" w:rsidRPr="00125783">
        <w:rPr>
          <w:rFonts w:ascii="Arial" w:hAnsi="Arial" w:cs="Arial"/>
        </w:rPr>
        <w:t xml:space="preserve">slevy z jízdného nařízené </w:t>
      </w:r>
      <w:r w:rsidRPr="00125783">
        <w:rPr>
          <w:rFonts w:ascii="Arial" w:hAnsi="Arial" w:cs="Arial"/>
        </w:rPr>
        <w:t>orgány veřejné správy.</w:t>
      </w:r>
      <w:r w:rsidR="003E6205" w:rsidRPr="00125783">
        <w:rPr>
          <w:rFonts w:ascii="Arial" w:hAnsi="Arial" w:cs="Arial"/>
        </w:rPr>
        <w:t xml:space="preserve"> Z pohledu právního předpisu se</w:t>
      </w:r>
      <w:r w:rsidR="00125783">
        <w:rPr>
          <w:rFonts w:ascii="Arial" w:hAnsi="Arial" w:cs="Arial"/>
        </w:rPr>
        <w:t> </w:t>
      </w:r>
      <w:r w:rsidR="003E6205" w:rsidRPr="00125783">
        <w:rPr>
          <w:rFonts w:ascii="Arial" w:hAnsi="Arial" w:cs="Arial"/>
        </w:rPr>
        <w:t>jedná o oprávnění, nikoliv o</w:t>
      </w:r>
      <w:r w:rsidR="00125783" w:rsidRPr="00125783">
        <w:rPr>
          <w:rFonts w:ascii="Arial" w:hAnsi="Arial" w:cs="Arial"/>
        </w:rPr>
        <w:t> </w:t>
      </w:r>
      <w:r w:rsidR="003E6205" w:rsidRPr="00125783">
        <w:rPr>
          <w:rFonts w:ascii="Arial" w:hAnsi="Arial" w:cs="Arial"/>
        </w:rPr>
        <w:t>povinnost.</w:t>
      </w:r>
    </w:p>
    <w:p w:rsidR="00E70A96" w:rsidRPr="00125783" w:rsidRDefault="00CF5490"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 xml:space="preserve">Je-li </w:t>
      </w:r>
      <w:r w:rsidR="00E70A96" w:rsidRPr="00125783">
        <w:rPr>
          <w:rFonts w:ascii="Arial" w:hAnsi="Arial" w:cs="Arial"/>
        </w:rPr>
        <w:t xml:space="preserve">účelem obecných pravidel stanovení maximálních tarifů </w:t>
      </w:r>
      <w:r w:rsidRPr="00125783">
        <w:rPr>
          <w:rFonts w:ascii="Arial" w:hAnsi="Arial" w:cs="Arial"/>
          <w:i/>
        </w:rPr>
        <w:t>„</w:t>
      </w:r>
      <w:r w:rsidR="00E70A96" w:rsidRPr="00125783">
        <w:rPr>
          <w:rFonts w:ascii="Arial" w:hAnsi="Arial" w:cs="Arial"/>
          <w:i/>
        </w:rPr>
        <w:t>pro všechny cestující nebo určité kategorie cestujících</w:t>
      </w:r>
      <w:r w:rsidRPr="00125783">
        <w:rPr>
          <w:rStyle w:val="Znakapoznpodarou"/>
          <w:rFonts w:ascii="Arial" w:hAnsi="Arial" w:cs="Arial"/>
          <w:i/>
        </w:rPr>
        <w:footnoteReference w:id="2"/>
      </w:r>
      <w:r w:rsidRPr="00125783">
        <w:rPr>
          <w:rFonts w:ascii="Arial" w:hAnsi="Arial" w:cs="Arial"/>
          <w:i/>
        </w:rPr>
        <w:t>“</w:t>
      </w:r>
      <w:r w:rsidRPr="00125783">
        <w:rPr>
          <w:rFonts w:ascii="Arial" w:hAnsi="Arial" w:cs="Arial"/>
        </w:rPr>
        <w:t>, což je nejčastější případ použití obecného pravidla, může příslušný orgán</w:t>
      </w:r>
      <w:r w:rsidR="00E70A96" w:rsidRPr="00125783">
        <w:rPr>
          <w:rFonts w:ascii="Arial" w:hAnsi="Arial" w:cs="Arial"/>
        </w:rPr>
        <w:t xml:space="preserve"> v souladu s unijním právem</w:t>
      </w:r>
      <w:r w:rsidRPr="00125783">
        <w:rPr>
          <w:rFonts w:ascii="Arial" w:hAnsi="Arial" w:cs="Arial"/>
        </w:rPr>
        <w:t xml:space="preserve"> postupovat </w:t>
      </w:r>
      <w:r w:rsidR="00E70A96" w:rsidRPr="00125783">
        <w:rPr>
          <w:rFonts w:ascii="Arial" w:hAnsi="Arial" w:cs="Arial"/>
        </w:rPr>
        <w:t>následovně:</w:t>
      </w:r>
    </w:p>
    <w:p w:rsidR="00E70A96" w:rsidRPr="00125783" w:rsidRDefault="00E70A96" w:rsidP="00306691">
      <w:pPr>
        <w:pStyle w:val="Odstavecseseznamem"/>
        <w:numPr>
          <w:ilvl w:val="0"/>
          <w:numId w:val="14"/>
        </w:numPr>
        <w:spacing w:after="120" w:line="240" w:lineRule="auto"/>
        <w:ind w:left="993" w:hanging="426"/>
        <w:contextualSpacing w:val="0"/>
        <w:jc w:val="both"/>
        <w:rPr>
          <w:rFonts w:ascii="Arial" w:hAnsi="Arial" w:cs="Arial"/>
        </w:rPr>
      </w:pPr>
      <w:r w:rsidRPr="00125783">
        <w:rPr>
          <w:rFonts w:ascii="Arial" w:hAnsi="Arial" w:cs="Arial"/>
        </w:rPr>
        <w:t>zahrnout závazky veřejné služby</w:t>
      </w:r>
      <w:r w:rsidR="00CF5490" w:rsidRPr="00125783">
        <w:rPr>
          <w:rFonts w:ascii="Arial" w:hAnsi="Arial" w:cs="Arial"/>
        </w:rPr>
        <w:t>,</w:t>
      </w:r>
      <w:r w:rsidRPr="00125783">
        <w:rPr>
          <w:rFonts w:ascii="Arial" w:hAnsi="Arial" w:cs="Arial"/>
        </w:rPr>
        <w:t xml:space="preserve"> stanovící maximální tarify</w:t>
      </w:r>
      <w:r w:rsidR="00CF5490" w:rsidRPr="00125783">
        <w:rPr>
          <w:rFonts w:ascii="Arial" w:hAnsi="Arial" w:cs="Arial"/>
        </w:rPr>
        <w:t>,</w:t>
      </w:r>
      <w:r w:rsidRPr="00125783">
        <w:rPr>
          <w:rFonts w:ascii="Arial" w:hAnsi="Arial" w:cs="Arial"/>
        </w:rPr>
        <w:t xml:space="preserve"> do smluv o</w:t>
      </w:r>
      <w:r w:rsidR="00125783" w:rsidRPr="00125783">
        <w:rPr>
          <w:rFonts w:ascii="Arial" w:hAnsi="Arial" w:cs="Arial"/>
        </w:rPr>
        <w:t> </w:t>
      </w:r>
      <w:r w:rsidRPr="00125783">
        <w:rPr>
          <w:rFonts w:ascii="Arial" w:hAnsi="Arial" w:cs="Arial"/>
        </w:rPr>
        <w:t>veřejných službách, které v České republice uzavírají obce (městská doprava), kraje (regionální autobusová a drážní doprava) a Ministerstvo dopravy (mezinárodní a</w:t>
      </w:r>
      <w:r w:rsidR="00125783">
        <w:rPr>
          <w:rFonts w:ascii="Arial" w:hAnsi="Arial" w:cs="Arial"/>
        </w:rPr>
        <w:t> </w:t>
      </w:r>
      <w:r w:rsidRPr="00125783">
        <w:rPr>
          <w:rFonts w:ascii="Arial" w:hAnsi="Arial" w:cs="Arial"/>
        </w:rPr>
        <w:t>nadregionální drážní doprava), nebo</w:t>
      </w:r>
    </w:p>
    <w:p w:rsidR="00E70A96" w:rsidRPr="00125783" w:rsidRDefault="00E70A96" w:rsidP="00306691">
      <w:pPr>
        <w:pStyle w:val="Odstavecseseznamem"/>
        <w:numPr>
          <w:ilvl w:val="0"/>
          <w:numId w:val="14"/>
        </w:numPr>
        <w:spacing w:after="120" w:line="240" w:lineRule="auto"/>
        <w:ind w:left="993" w:hanging="426"/>
        <w:contextualSpacing w:val="0"/>
        <w:jc w:val="both"/>
        <w:rPr>
          <w:rFonts w:ascii="Arial" w:hAnsi="Arial" w:cs="Arial"/>
        </w:rPr>
      </w:pPr>
      <w:r w:rsidRPr="00125783">
        <w:rPr>
          <w:rFonts w:ascii="Arial" w:hAnsi="Arial" w:cs="Arial"/>
        </w:rPr>
        <w:t xml:space="preserve">poskytnout provozovatelům veřejných služeb zvláštní kompenzaci za </w:t>
      </w:r>
      <w:r w:rsidR="00CF5490" w:rsidRPr="00125783">
        <w:rPr>
          <w:rFonts w:ascii="Arial" w:hAnsi="Arial" w:cs="Arial"/>
          <w:i/>
        </w:rPr>
        <w:t>„</w:t>
      </w:r>
      <w:r w:rsidRPr="00125783">
        <w:rPr>
          <w:rFonts w:ascii="Arial" w:hAnsi="Arial" w:cs="Arial"/>
          <w:i/>
        </w:rPr>
        <w:t>čisté finanční dopady, pozitivní nebo negativní, na náklady a příjmy, které vznikly při plnění tarifních závazků stanovených v obecných pravidlech způsobem, který zabraňuje nadměrnému poskytnutí kompenzací</w:t>
      </w:r>
      <w:r w:rsidR="00CF5490" w:rsidRPr="00125783">
        <w:rPr>
          <w:rFonts w:ascii="Arial" w:hAnsi="Arial" w:cs="Arial"/>
          <w:i/>
        </w:rPr>
        <w:t>.“</w:t>
      </w:r>
    </w:p>
    <w:p w:rsidR="001C410D" w:rsidRDefault="00E70A96" w:rsidP="00306691">
      <w:pPr>
        <w:spacing w:after="120" w:line="240" w:lineRule="auto"/>
        <w:ind w:left="567"/>
        <w:jc w:val="both"/>
        <w:rPr>
          <w:rFonts w:ascii="Arial" w:hAnsi="Arial" w:cs="Arial"/>
        </w:rPr>
      </w:pPr>
      <w:r w:rsidRPr="00125783">
        <w:rPr>
          <w:rFonts w:ascii="Arial" w:hAnsi="Arial" w:cs="Arial"/>
        </w:rPr>
        <w:t xml:space="preserve">Obě varianty </w:t>
      </w:r>
      <w:r w:rsidR="001C410D" w:rsidRPr="00125783">
        <w:rPr>
          <w:rFonts w:ascii="Arial" w:hAnsi="Arial" w:cs="Arial"/>
        </w:rPr>
        <w:t xml:space="preserve">postupu příslušného orgánu </w:t>
      </w:r>
      <w:r w:rsidRPr="00125783">
        <w:rPr>
          <w:rFonts w:ascii="Arial" w:hAnsi="Arial" w:cs="Arial"/>
        </w:rPr>
        <w:t xml:space="preserve">mají </w:t>
      </w:r>
      <w:r w:rsidR="00C434F9" w:rsidRPr="00125783">
        <w:rPr>
          <w:rFonts w:ascii="Arial" w:hAnsi="Arial" w:cs="Arial"/>
        </w:rPr>
        <w:t xml:space="preserve">výhody i </w:t>
      </w:r>
      <w:r w:rsidRPr="00125783">
        <w:rPr>
          <w:rFonts w:ascii="Arial" w:hAnsi="Arial" w:cs="Arial"/>
        </w:rPr>
        <w:t xml:space="preserve">nevýhody. Pokud jsou slevy stanoveny pouze na území </w:t>
      </w:r>
      <w:r w:rsidR="00CF5490" w:rsidRPr="00125783">
        <w:rPr>
          <w:rFonts w:ascii="Arial" w:hAnsi="Arial" w:cs="Arial"/>
        </w:rPr>
        <w:t xml:space="preserve">konkrétního </w:t>
      </w:r>
      <w:r w:rsidRPr="00125783">
        <w:rPr>
          <w:rFonts w:ascii="Arial" w:hAnsi="Arial" w:cs="Arial"/>
        </w:rPr>
        <w:t xml:space="preserve">města či kraje, anebo jsou naopak celoplošné, ale bez závažných změn uplatňované po dlouhou dobu, pak je jejich zahrnutí do smluv o veřejných službách podle písm. a) vhodným </w:t>
      </w:r>
      <w:r w:rsidR="001C410D" w:rsidRPr="00125783">
        <w:rPr>
          <w:rFonts w:ascii="Arial" w:hAnsi="Arial" w:cs="Arial"/>
        </w:rPr>
        <w:t xml:space="preserve">a efektivním </w:t>
      </w:r>
      <w:r w:rsidRPr="00125783">
        <w:rPr>
          <w:rFonts w:ascii="Arial" w:hAnsi="Arial" w:cs="Arial"/>
        </w:rPr>
        <w:t>řešením. Naopak, pokud se jedná o slevy celoplošné s velkým rozpočtovým dopadem, k</w:t>
      </w:r>
      <w:r w:rsidR="00CF5490" w:rsidRPr="00125783">
        <w:rPr>
          <w:rFonts w:ascii="Arial" w:hAnsi="Arial" w:cs="Arial"/>
        </w:rPr>
        <w:t xml:space="preserve">teré </w:t>
      </w:r>
      <w:r w:rsidR="001C410D" w:rsidRPr="00125783">
        <w:rPr>
          <w:rFonts w:ascii="Arial" w:hAnsi="Arial" w:cs="Arial"/>
        </w:rPr>
        <w:t xml:space="preserve">v čase </w:t>
      </w:r>
      <w:r w:rsidR="00CF5490" w:rsidRPr="00125783">
        <w:rPr>
          <w:rFonts w:ascii="Arial" w:hAnsi="Arial" w:cs="Arial"/>
        </w:rPr>
        <w:t xml:space="preserve">nejsou zcela stabilní, je možné je </w:t>
      </w:r>
      <w:r w:rsidRPr="00125783">
        <w:rPr>
          <w:rFonts w:ascii="Arial" w:hAnsi="Arial" w:cs="Arial"/>
        </w:rPr>
        <w:t xml:space="preserve">vyrovnávat </w:t>
      </w:r>
      <w:r w:rsidR="00CF5490" w:rsidRPr="00125783">
        <w:rPr>
          <w:rFonts w:ascii="Arial" w:hAnsi="Arial" w:cs="Arial"/>
        </w:rPr>
        <w:t xml:space="preserve">pouze </w:t>
      </w:r>
      <w:r w:rsidRPr="00125783">
        <w:rPr>
          <w:rFonts w:ascii="Arial" w:hAnsi="Arial" w:cs="Arial"/>
        </w:rPr>
        <w:t xml:space="preserve">způsobem podle písm. b), </w:t>
      </w:r>
      <w:r w:rsidR="00CF5490" w:rsidRPr="00125783">
        <w:rPr>
          <w:rFonts w:ascii="Arial" w:hAnsi="Arial" w:cs="Arial"/>
        </w:rPr>
        <w:t>protože</w:t>
      </w:r>
      <w:r w:rsidRPr="00125783">
        <w:rPr>
          <w:rFonts w:ascii="Arial" w:hAnsi="Arial" w:cs="Arial"/>
        </w:rPr>
        <w:t xml:space="preserve"> množství smluv o</w:t>
      </w:r>
      <w:r w:rsidR="00CF5490" w:rsidRPr="00125783">
        <w:rPr>
          <w:rFonts w:ascii="Arial" w:hAnsi="Arial" w:cs="Arial"/>
        </w:rPr>
        <w:t> </w:t>
      </w:r>
      <w:r w:rsidRPr="00125783">
        <w:rPr>
          <w:rFonts w:ascii="Arial" w:hAnsi="Arial" w:cs="Arial"/>
        </w:rPr>
        <w:t xml:space="preserve">veřejných službách (jen v drážní dopravě jsou v České republice desítky smluv) </w:t>
      </w:r>
      <w:r w:rsidR="001C410D" w:rsidRPr="00125783">
        <w:rPr>
          <w:rFonts w:ascii="Arial" w:hAnsi="Arial" w:cs="Arial"/>
        </w:rPr>
        <w:t>jim reálně nelze</w:t>
      </w:r>
      <w:r w:rsidRPr="00125783">
        <w:rPr>
          <w:rFonts w:ascii="Arial" w:hAnsi="Arial" w:cs="Arial"/>
        </w:rPr>
        <w:t xml:space="preserve"> přizpůsobovat</w:t>
      </w:r>
      <w:r w:rsidR="001C410D" w:rsidRPr="00125783">
        <w:rPr>
          <w:rStyle w:val="Znakapoznpodarou"/>
          <w:rFonts w:ascii="Arial" w:hAnsi="Arial" w:cs="Arial"/>
        </w:rPr>
        <w:footnoteReference w:id="3"/>
      </w:r>
      <w:r w:rsidRPr="00125783">
        <w:rPr>
          <w:rFonts w:ascii="Arial" w:hAnsi="Arial" w:cs="Arial"/>
        </w:rPr>
        <w:t>.</w:t>
      </w:r>
    </w:p>
    <w:p w:rsidR="00820ECA" w:rsidRPr="00125783" w:rsidRDefault="00820ECA" w:rsidP="00820ECA">
      <w:pPr>
        <w:spacing w:after="120" w:line="240" w:lineRule="auto"/>
        <w:jc w:val="both"/>
        <w:rPr>
          <w:rFonts w:ascii="Arial" w:hAnsi="Arial" w:cs="Arial"/>
        </w:rPr>
      </w:pPr>
    </w:p>
    <w:p w:rsidR="00945417" w:rsidRPr="00125783" w:rsidRDefault="003445EC" w:rsidP="00306691">
      <w:pPr>
        <w:tabs>
          <w:tab w:val="left" w:pos="567"/>
        </w:tabs>
        <w:spacing w:after="120" w:line="240" w:lineRule="auto"/>
        <w:jc w:val="both"/>
        <w:rPr>
          <w:rFonts w:ascii="Arial" w:hAnsi="Arial" w:cs="Arial"/>
          <w:b/>
          <w:color w:val="002060"/>
        </w:rPr>
      </w:pPr>
      <w:r w:rsidRPr="00125783">
        <w:rPr>
          <w:rFonts w:ascii="Arial" w:hAnsi="Arial" w:cs="Arial"/>
          <w:b/>
          <w:color w:val="002060"/>
        </w:rPr>
        <w:t>1.2</w:t>
      </w:r>
      <w:r w:rsidRPr="00125783">
        <w:rPr>
          <w:rFonts w:ascii="Arial" w:hAnsi="Arial" w:cs="Arial"/>
          <w:b/>
          <w:color w:val="002060"/>
        </w:rPr>
        <w:tab/>
      </w:r>
      <w:r w:rsidR="002B0158" w:rsidRPr="00125783">
        <w:rPr>
          <w:rFonts w:ascii="Arial" w:hAnsi="Arial" w:cs="Arial"/>
          <w:b/>
          <w:color w:val="002060"/>
        </w:rPr>
        <w:t>Dlouhodobě</w:t>
      </w:r>
      <w:r w:rsidR="00945417" w:rsidRPr="00125783">
        <w:rPr>
          <w:rFonts w:ascii="Arial" w:hAnsi="Arial" w:cs="Arial"/>
          <w:b/>
          <w:color w:val="002060"/>
        </w:rPr>
        <w:t xml:space="preserve"> uplatňované slevy</w:t>
      </w:r>
    </w:p>
    <w:p w:rsidR="00016763" w:rsidRPr="00125783" w:rsidRDefault="00A34A12"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S</w:t>
      </w:r>
      <w:r w:rsidR="00E70A96" w:rsidRPr="00125783">
        <w:rPr>
          <w:rFonts w:ascii="Arial" w:hAnsi="Arial" w:cs="Arial"/>
        </w:rPr>
        <w:t>levami,</w:t>
      </w:r>
      <w:r w:rsidRPr="00125783">
        <w:rPr>
          <w:rFonts w:ascii="Arial" w:hAnsi="Arial" w:cs="Arial"/>
        </w:rPr>
        <w:t xml:space="preserve"> stabilně</w:t>
      </w:r>
      <w:r w:rsidR="00E70A96" w:rsidRPr="00125783">
        <w:rPr>
          <w:rFonts w:ascii="Arial" w:hAnsi="Arial" w:cs="Arial"/>
        </w:rPr>
        <w:t xml:space="preserve"> </w:t>
      </w:r>
      <w:r w:rsidRPr="00125783">
        <w:rPr>
          <w:rFonts w:ascii="Arial" w:hAnsi="Arial" w:cs="Arial"/>
        </w:rPr>
        <w:t xml:space="preserve">i před rokem 2018 </w:t>
      </w:r>
      <w:r w:rsidR="00E70A96" w:rsidRPr="00125783">
        <w:rPr>
          <w:rFonts w:ascii="Arial" w:hAnsi="Arial" w:cs="Arial"/>
        </w:rPr>
        <w:t>uplatňovanými</w:t>
      </w:r>
      <w:r w:rsidR="003F1DEA" w:rsidRPr="00125783">
        <w:rPr>
          <w:rFonts w:ascii="Arial" w:hAnsi="Arial" w:cs="Arial"/>
        </w:rPr>
        <w:t xml:space="preserve"> </w:t>
      </w:r>
      <w:r w:rsidRPr="00125783">
        <w:rPr>
          <w:rFonts w:ascii="Arial" w:hAnsi="Arial" w:cs="Arial"/>
        </w:rPr>
        <w:t>v České republice</w:t>
      </w:r>
      <w:r w:rsidR="00E70A96" w:rsidRPr="00125783">
        <w:rPr>
          <w:rFonts w:ascii="Arial" w:hAnsi="Arial" w:cs="Arial"/>
        </w:rPr>
        <w:t xml:space="preserve">, jsou </w:t>
      </w:r>
      <w:r w:rsidR="00C434F9" w:rsidRPr="00125783">
        <w:rPr>
          <w:rFonts w:ascii="Arial" w:hAnsi="Arial" w:cs="Arial"/>
        </w:rPr>
        <w:t xml:space="preserve">zejména </w:t>
      </w:r>
      <w:r w:rsidR="00E70A96" w:rsidRPr="00125783">
        <w:rPr>
          <w:rFonts w:ascii="Arial" w:hAnsi="Arial" w:cs="Arial"/>
        </w:rPr>
        <w:t>následující</w:t>
      </w:r>
      <w:r w:rsidR="003F1DEA" w:rsidRPr="00125783">
        <w:rPr>
          <w:rFonts w:ascii="Arial" w:hAnsi="Arial" w:cs="Arial"/>
        </w:rPr>
        <w:t>:</w:t>
      </w:r>
    </w:p>
    <w:p w:rsidR="00945417" w:rsidRPr="00125783" w:rsidRDefault="00945417" w:rsidP="00306691">
      <w:pPr>
        <w:pStyle w:val="Odstavecseseznamem"/>
        <w:numPr>
          <w:ilvl w:val="0"/>
          <w:numId w:val="16"/>
        </w:numPr>
        <w:spacing w:after="120" w:line="240" w:lineRule="auto"/>
        <w:ind w:left="993" w:hanging="426"/>
        <w:contextualSpacing w:val="0"/>
        <w:jc w:val="both"/>
        <w:rPr>
          <w:rFonts w:ascii="Arial" w:hAnsi="Arial" w:cs="Arial"/>
        </w:rPr>
      </w:pPr>
      <w:r w:rsidRPr="00125783">
        <w:rPr>
          <w:rFonts w:ascii="Arial" w:hAnsi="Arial" w:cs="Arial"/>
          <w:i/>
        </w:rPr>
        <w:t>slevy pro zdravotně postižené cestující</w:t>
      </w:r>
      <w:r w:rsidRPr="00125783">
        <w:rPr>
          <w:rFonts w:ascii="Arial" w:hAnsi="Arial" w:cs="Arial"/>
        </w:rPr>
        <w:t xml:space="preserve"> (</w:t>
      </w:r>
      <w:r w:rsidR="001C410D" w:rsidRPr="00125783">
        <w:rPr>
          <w:rFonts w:ascii="Arial" w:hAnsi="Arial" w:cs="Arial"/>
        </w:rPr>
        <w:t xml:space="preserve">osoby mající </w:t>
      </w:r>
      <w:r w:rsidRPr="00125783">
        <w:rPr>
          <w:rFonts w:ascii="Arial" w:hAnsi="Arial" w:cs="Arial"/>
        </w:rPr>
        <w:t xml:space="preserve">průkaz </w:t>
      </w:r>
      <w:r w:rsidR="001C410D" w:rsidRPr="00125783">
        <w:rPr>
          <w:rFonts w:ascii="Arial" w:hAnsi="Arial" w:cs="Arial"/>
        </w:rPr>
        <w:t xml:space="preserve">označovaný jako </w:t>
      </w:r>
      <w:r w:rsidRPr="00125783">
        <w:rPr>
          <w:rFonts w:ascii="Arial" w:hAnsi="Arial" w:cs="Arial"/>
        </w:rPr>
        <w:t xml:space="preserve">ZTP) </w:t>
      </w:r>
      <w:r w:rsidRPr="00125783">
        <w:rPr>
          <w:rFonts w:ascii="Arial" w:hAnsi="Arial" w:cs="Arial"/>
          <w:i/>
        </w:rPr>
        <w:t>a jejich průvodce</w:t>
      </w:r>
      <w:r w:rsidRPr="00125783">
        <w:rPr>
          <w:rFonts w:ascii="Arial" w:hAnsi="Arial" w:cs="Arial"/>
        </w:rPr>
        <w:t xml:space="preserve"> (</w:t>
      </w:r>
      <w:r w:rsidR="001C410D" w:rsidRPr="00125783">
        <w:rPr>
          <w:rFonts w:ascii="Arial" w:hAnsi="Arial" w:cs="Arial"/>
        </w:rPr>
        <w:t xml:space="preserve">osoby mající </w:t>
      </w:r>
      <w:r w:rsidRPr="00125783">
        <w:rPr>
          <w:rFonts w:ascii="Arial" w:hAnsi="Arial" w:cs="Arial"/>
        </w:rPr>
        <w:t xml:space="preserve">průkaz označovaný jako ZTP-P), jejíchž poskytování vyplývá </w:t>
      </w:r>
      <w:r w:rsidR="001C410D" w:rsidRPr="00125783">
        <w:rPr>
          <w:rFonts w:ascii="Arial" w:hAnsi="Arial" w:cs="Arial"/>
        </w:rPr>
        <w:t>přímo z ustanovení </w:t>
      </w:r>
      <w:r w:rsidRPr="00125783">
        <w:rPr>
          <w:rFonts w:ascii="Arial" w:hAnsi="Arial" w:cs="Arial"/>
        </w:rPr>
        <w:t>zákona</w:t>
      </w:r>
      <w:r w:rsidR="001C410D" w:rsidRPr="00125783">
        <w:rPr>
          <w:rStyle w:val="Znakapoznpodarou"/>
          <w:rFonts w:ascii="Arial" w:hAnsi="Arial" w:cs="Arial"/>
        </w:rPr>
        <w:footnoteReference w:id="4"/>
      </w:r>
      <w:r w:rsidR="001C410D" w:rsidRPr="00125783">
        <w:rPr>
          <w:rFonts w:ascii="Arial" w:hAnsi="Arial" w:cs="Arial"/>
        </w:rPr>
        <w:t xml:space="preserve"> v kompetenci ministerstva práce a sociálních věcí</w:t>
      </w:r>
      <w:r w:rsidRPr="00125783">
        <w:rPr>
          <w:rFonts w:ascii="Arial" w:hAnsi="Arial" w:cs="Arial"/>
        </w:rPr>
        <w:t>,</w:t>
      </w:r>
    </w:p>
    <w:p w:rsidR="00945417" w:rsidRPr="00125783" w:rsidRDefault="00945417" w:rsidP="00306691">
      <w:pPr>
        <w:pStyle w:val="Odstavecseseznamem"/>
        <w:numPr>
          <w:ilvl w:val="0"/>
          <w:numId w:val="16"/>
        </w:numPr>
        <w:spacing w:after="120" w:line="240" w:lineRule="auto"/>
        <w:ind w:left="993" w:hanging="426"/>
        <w:contextualSpacing w:val="0"/>
        <w:jc w:val="both"/>
        <w:rPr>
          <w:rFonts w:ascii="Arial" w:hAnsi="Arial" w:cs="Arial"/>
        </w:rPr>
      </w:pPr>
      <w:r w:rsidRPr="00125783">
        <w:rPr>
          <w:rFonts w:ascii="Arial" w:hAnsi="Arial" w:cs="Arial"/>
          <w:i/>
        </w:rPr>
        <w:t>slevy pro rodiče dojíždějící za dětmi umístěnými v ústavech</w:t>
      </w:r>
      <w:r w:rsidRPr="00125783">
        <w:rPr>
          <w:rFonts w:ascii="Arial" w:hAnsi="Arial" w:cs="Arial"/>
        </w:rPr>
        <w:t>, jejíž úhrada je však nepatrnou složkou v rozpočtu, protože netvoří ani 1/10 ‰ z celkového objemu kompenzací a</w:t>
      </w:r>
    </w:p>
    <w:p w:rsidR="00945417" w:rsidRPr="00125783" w:rsidRDefault="00945417" w:rsidP="00306691">
      <w:pPr>
        <w:pStyle w:val="Odstavecseseznamem"/>
        <w:numPr>
          <w:ilvl w:val="0"/>
          <w:numId w:val="16"/>
        </w:numPr>
        <w:spacing w:after="120" w:line="240" w:lineRule="auto"/>
        <w:ind w:left="993" w:hanging="426"/>
        <w:contextualSpacing w:val="0"/>
        <w:jc w:val="both"/>
        <w:rPr>
          <w:rFonts w:ascii="Arial" w:hAnsi="Arial" w:cs="Arial"/>
        </w:rPr>
      </w:pPr>
      <w:r w:rsidRPr="00125783">
        <w:rPr>
          <w:rFonts w:ascii="Arial" w:hAnsi="Arial" w:cs="Arial"/>
          <w:i/>
        </w:rPr>
        <w:t>bezplatná přeprava dětí do 6 let</w:t>
      </w:r>
      <w:r w:rsidRPr="00125783">
        <w:rPr>
          <w:rFonts w:ascii="Arial" w:hAnsi="Arial" w:cs="Arial"/>
        </w:rPr>
        <w:t>, která je</w:t>
      </w:r>
      <w:r w:rsidR="001C410D" w:rsidRPr="00125783">
        <w:rPr>
          <w:rFonts w:ascii="Arial" w:hAnsi="Arial" w:cs="Arial"/>
        </w:rPr>
        <w:t xml:space="preserve"> poskytována dlouhodobě</w:t>
      </w:r>
      <w:r w:rsidR="00A34A12" w:rsidRPr="00125783">
        <w:rPr>
          <w:rFonts w:ascii="Arial" w:hAnsi="Arial" w:cs="Arial"/>
        </w:rPr>
        <w:t xml:space="preserve"> (</w:t>
      </w:r>
      <w:r w:rsidRPr="00125783">
        <w:rPr>
          <w:rFonts w:ascii="Arial" w:hAnsi="Arial" w:cs="Arial"/>
        </w:rPr>
        <w:t xml:space="preserve">bylo by ovšem vhodné detaily této slevy sjednotit, neboť počet dětí, které může cestující vzít do vozidla, je </w:t>
      </w:r>
      <w:r w:rsidR="00A34A12" w:rsidRPr="00125783">
        <w:rPr>
          <w:rFonts w:ascii="Arial" w:hAnsi="Arial" w:cs="Arial"/>
        </w:rPr>
        <w:t>bez jednoznačného odůvodnění odlišný</w:t>
      </w:r>
      <w:r w:rsidRPr="00125783">
        <w:rPr>
          <w:rFonts w:ascii="Arial" w:hAnsi="Arial" w:cs="Arial"/>
        </w:rPr>
        <w:t xml:space="preserve"> ve vlacích/IDS a v</w:t>
      </w:r>
      <w:r w:rsidR="00A34A12" w:rsidRPr="00125783">
        <w:rPr>
          <w:rFonts w:ascii="Arial" w:hAnsi="Arial" w:cs="Arial"/>
        </w:rPr>
        <w:t> </w:t>
      </w:r>
      <w:r w:rsidRPr="00125783">
        <w:rPr>
          <w:rFonts w:ascii="Arial" w:hAnsi="Arial" w:cs="Arial"/>
        </w:rPr>
        <w:t>autobusech</w:t>
      </w:r>
      <w:r w:rsidR="00A34A12" w:rsidRPr="00125783">
        <w:rPr>
          <w:rFonts w:ascii="Arial" w:hAnsi="Arial" w:cs="Arial"/>
        </w:rPr>
        <w:t>)</w:t>
      </w:r>
      <w:r w:rsidRPr="00125783">
        <w:rPr>
          <w:rFonts w:ascii="Arial" w:hAnsi="Arial" w:cs="Arial"/>
        </w:rPr>
        <w:t>.</w:t>
      </w:r>
    </w:p>
    <w:p w:rsidR="00C434F9" w:rsidRDefault="00945417"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T</w:t>
      </w:r>
      <w:r w:rsidR="001C410D" w:rsidRPr="00125783">
        <w:rPr>
          <w:rFonts w:ascii="Arial" w:hAnsi="Arial" w:cs="Arial"/>
        </w:rPr>
        <w:t xml:space="preserve">yto </w:t>
      </w:r>
      <w:r w:rsidR="00306691" w:rsidRPr="00125783">
        <w:rPr>
          <w:rFonts w:ascii="Arial" w:hAnsi="Arial" w:cs="Arial"/>
        </w:rPr>
        <w:t xml:space="preserve">„tradiční“ </w:t>
      </w:r>
      <w:r w:rsidR="001C410D" w:rsidRPr="00125783">
        <w:rPr>
          <w:rFonts w:ascii="Arial" w:hAnsi="Arial" w:cs="Arial"/>
        </w:rPr>
        <w:t>slevy nejsou velkou položkou z hlediska</w:t>
      </w:r>
      <w:r w:rsidRPr="00125783">
        <w:rPr>
          <w:rFonts w:ascii="Arial" w:hAnsi="Arial" w:cs="Arial"/>
        </w:rPr>
        <w:t xml:space="preserve"> </w:t>
      </w:r>
      <w:r w:rsidR="001C410D" w:rsidRPr="00125783">
        <w:rPr>
          <w:rFonts w:ascii="Arial" w:hAnsi="Arial" w:cs="Arial"/>
        </w:rPr>
        <w:t>výdajů za slevy</w:t>
      </w:r>
      <w:r w:rsidRPr="00125783">
        <w:rPr>
          <w:rFonts w:ascii="Arial" w:hAnsi="Arial" w:cs="Arial"/>
        </w:rPr>
        <w:t xml:space="preserve"> ze</w:t>
      </w:r>
      <w:r w:rsidR="00125783" w:rsidRPr="00125783">
        <w:rPr>
          <w:rFonts w:ascii="Arial" w:hAnsi="Arial" w:cs="Arial"/>
        </w:rPr>
        <w:t> </w:t>
      </w:r>
      <w:r w:rsidRPr="00125783">
        <w:rPr>
          <w:rFonts w:ascii="Arial" w:hAnsi="Arial" w:cs="Arial"/>
        </w:rPr>
        <w:t>státního rozpočtu (viz tabulka níže)</w:t>
      </w:r>
      <w:r w:rsidR="001C410D" w:rsidRPr="00125783">
        <w:rPr>
          <w:rFonts w:ascii="Arial" w:hAnsi="Arial" w:cs="Arial"/>
        </w:rPr>
        <w:t xml:space="preserve"> a nenavrhuje se do nich zásadně vstupovat, snad kromě sjednocení počtu malých dětí do</w:t>
      </w:r>
      <w:r w:rsidR="003E6205" w:rsidRPr="00125783">
        <w:rPr>
          <w:rFonts w:ascii="Arial" w:hAnsi="Arial" w:cs="Arial"/>
        </w:rPr>
        <w:t> </w:t>
      </w:r>
      <w:r w:rsidR="001C410D" w:rsidRPr="00125783">
        <w:rPr>
          <w:rFonts w:ascii="Arial" w:hAnsi="Arial" w:cs="Arial"/>
        </w:rPr>
        <w:t>6 let, které je dospělý cestující oprávněn si vzít sebou do vozidla</w:t>
      </w:r>
      <w:r w:rsidRPr="00125783">
        <w:rPr>
          <w:rFonts w:ascii="Arial" w:hAnsi="Arial" w:cs="Arial"/>
        </w:rPr>
        <w:t>. Dlouhodobě je používán úzus, že</w:t>
      </w:r>
      <w:r w:rsidR="00125783" w:rsidRPr="00125783">
        <w:rPr>
          <w:rFonts w:ascii="Arial" w:hAnsi="Arial" w:cs="Arial"/>
        </w:rPr>
        <w:t> </w:t>
      </w:r>
      <w:r w:rsidRPr="00125783">
        <w:rPr>
          <w:rFonts w:ascii="Arial" w:hAnsi="Arial" w:cs="Arial"/>
        </w:rPr>
        <w:t xml:space="preserve">důsledky uplatňování těchto </w:t>
      </w:r>
      <w:r w:rsidR="001C410D" w:rsidRPr="00125783">
        <w:rPr>
          <w:rFonts w:ascii="Arial" w:hAnsi="Arial" w:cs="Arial"/>
        </w:rPr>
        <w:t xml:space="preserve">„tradičních“ </w:t>
      </w:r>
      <w:r w:rsidRPr="00125783">
        <w:rPr>
          <w:rFonts w:ascii="Arial" w:hAnsi="Arial" w:cs="Arial"/>
        </w:rPr>
        <w:t xml:space="preserve">slev hradí Ministerstvo dopravy pouze u dopravních služeb </w:t>
      </w:r>
      <w:r w:rsidRPr="00125783">
        <w:rPr>
          <w:rFonts w:ascii="Arial" w:hAnsi="Arial" w:cs="Arial"/>
          <w:i/>
        </w:rPr>
        <w:t>Open Access</w:t>
      </w:r>
      <w:r w:rsidRPr="00125783">
        <w:rPr>
          <w:rFonts w:ascii="Arial" w:hAnsi="Arial" w:cs="Arial"/>
        </w:rPr>
        <w:t xml:space="preserve"> (tedy komerčních, provozovaných mimo smlouvy o veřejných službách). Jedná-li se o objednávané služby v rámci smluv o veřejných službách, úhrada těchto </w:t>
      </w:r>
      <w:r w:rsidR="003E6205" w:rsidRPr="00125783">
        <w:rPr>
          <w:rFonts w:ascii="Arial" w:hAnsi="Arial" w:cs="Arial"/>
        </w:rPr>
        <w:t xml:space="preserve">„tradičních“ </w:t>
      </w:r>
      <w:r w:rsidRPr="00125783">
        <w:rPr>
          <w:rFonts w:ascii="Arial" w:hAnsi="Arial" w:cs="Arial"/>
        </w:rPr>
        <w:t>státem nařízených slev je součástí kompenzace jednotlivých objednatelů (stát, kraj, popř. obce) a reálně tento postup nezpůsobuje závažné problémy.</w:t>
      </w:r>
    </w:p>
    <w:p w:rsidR="00820ECA" w:rsidRPr="00820ECA" w:rsidRDefault="00820ECA" w:rsidP="00820ECA">
      <w:pPr>
        <w:spacing w:after="120" w:line="240" w:lineRule="auto"/>
        <w:jc w:val="both"/>
        <w:rPr>
          <w:rFonts w:ascii="Arial" w:hAnsi="Arial" w:cs="Arial"/>
        </w:rPr>
      </w:pPr>
    </w:p>
    <w:p w:rsidR="00945417" w:rsidRPr="00125783" w:rsidRDefault="003445EC" w:rsidP="00306691">
      <w:pPr>
        <w:tabs>
          <w:tab w:val="left" w:pos="567"/>
        </w:tabs>
        <w:spacing w:after="120" w:line="240" w:lineRule="auto"/>
        <w:jc w:val="both"/>
        <w:rPr>
          <w:rFonts w:ascii="Arial" w:hAnsi="Arial" w:cs="Arial"/>
          <w:b/>
          <w:color w:val="002060"/>
        </w:rPr>
      </w:pPr>
      <w:r w:rsidRPr="00125783">
        <w:rPr>
          <w:rFonts w:ascii="Arial" w:hAnsi="Arial" w:cs="Arial"/>
          <w:b/>
          <w:color w:val="002060"/>
        </w:rPr>
        <w:t>1.3</w:t>
      </w:r>
      <w:r w:rsidRPr="00125783">
        <w:rPr>
          <w:rFonts w:ascii="Arial" w:hAnsi="Arial" w:cs="Arial"/>
          <w:b/>
          <w:color w:val="002060"/>
        </w:rPr>
        <w:tab/>
      </w:r>
      <w:r w:rsidR="00945417" w:rsidRPr="00125783">
        <w:rPr>
          <w:rFonts w:ascii="Arial" w:hAnsi="Arial" w:cs="Arial"/>
          <w:b/>
          <w:color w:val="002060"/>
        </w:rPr>
        <w:t>Nové slevy z roku 2018</w:t>
      </w:r>
    </w:p>
    <w:p w:rsidR="00C434F9" w:rsidRPr="00125783" w:rsidRDefault="00C434F9"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Zásadní p</w:t>
      </w:r>
      <w:r w:rsidR="001C410D" w:rsidRPr="00125783">
        <w:rPr>
          <w:rFonts w:ascii="Arial" w:hAnsi="Arial" w:cs="Arial"/>
        </w:rPr>
        <w:t xml:space="preserve">růlom do </w:t>
      </w:r>
      <w:r w:rsidR="00016763" w:rsidRPr="00125783">
        <w:rPr>
          <w:rFonts w:ascii="Arial" w:hAnsi="Arial" w:cs="Arial"/>
        </w:rPr>
        <w:t xml:space="preserve">praxe </w:t>
      </w:r>
      <w:r w:rsidR="001C410D" w:rsidRPr="00125783">
        <w:rPr>
          <w:rFonts w:ascii="Arial" w:hAnsi="Arial" w:cs="Arial"/>
        </w:rPr>
        <w:t xml:space="preserve">uplatňování slev nařízených státem </w:t>
      </w:r>
      <w:r w:rsidR="00016763" w:rsidRPr="00125783">
        <w:rPr>
          <w:rFonts w:ascii="Arial" w:hAnsi="Arial" w:cs="Arial"/>
        </w:rPr>
        <w:t xml:space="preserve">přineslo zavedení </w:t>
      </w:r>
      <w:r w:rsidR="001C410D" w:rsidRPr="00125783">
        <w:rPr>
          <w:rFonts w:ascii="Arial" w:hAnsi="Arial" w:cs="Arial"/>
        </w:rPr>
        <w:t>75 </w:t>
      </w:r>
      <w:r w:rsidR="00016763" w:rsidRPr="00125783">
        <w:rPr>
          <w:rFonts w:ascii="Arial" w:hAnsi="Arial" w:cs="Arial"/>
        </w:rPr>
        <w:t>% slevy z jízdného pro</w:t>
      </w:r>
      <w:r w:rsidR="003F1DEA" w:rsidRPr="00125783">
        <w:rPr>
          <w:rFonts w:ascii="Arial" w:hAnsi="Arial" w:cs="Arial"/>
        </w:rPr>
        <w:t xml:space="preserve"> </w:t>
      </w:r>
      <w:r w:rsidRPr="00125783">
        <w:rPr>
          <w:rFonts w:ascii="Arial" w:hAnsi="Arial" w:cs="Arial"/>
        </w:rPr>
        <w:t xml:space="preserve">velmi </w:t>
      </w:r>
      <w:r w:rsidR="003F1DEA" w:rsidRPr="00125783">
        <w:rPr>
          <w:rFonts w:ascii="Arial" w:hAnsi="Arial" w:cs="Arial"/>
        </w:rPr>
        <w:t>rozsáhlé skupiny cestujících, konkrétně</w:t>
      </w:r>
      <w:r w:rsidR="00016763" w:rsidRPr="00125783">
        <w:rPr>
          <w:rFonts w:ascii="Arial" w:hAnsi="Arial" w:cs="Arial"/>
        </w:rPr>
        <w:t xml:space="preserve"> </w:t>
      </w:r>
    </w:p>
    <w:p w:rsidR="00C434F9" w:rsidRPr="00125783" w:rsidRDefault="00C434F9" w:rsidP="00306691">
      <w:pPr>
        <w:pStyle w:val="Odstavecseseznamem"/>
        <w:numPr>
          <w:ilvl w:val="0"/>
          <w:numId w:val="17"/>
        </w:numPr>
        <w:spacing w:after="0" w:line="240" w:lineRule="auto"/>
        <w:ind w:left="992" w:hanging="425"/>
        <w:contextualSpacing w:val="0"/>
        <w:jc w:val="both"/>
        <w:rPr>
          <w:rFonts w:ascii="Arial" w:hAnsi="Arial" w:cs="Arial"/>
        </w:rPr>
      </w:pPr>
      <w:r w:rsidRPr="00125783">
        <w:rPr>
          <w:rFonts w:ascii="Arial" w:hAnsi="Arial" w:cs="Arial"/>
        </w:rPr>
        <w:t>d</w:t>
      </w:r>
      <w:r w:rsidR="00016763" w:rsidRPr="00125783">
        <w:rPr>
          <w:rFonts w:ascii="Arial" w:hAnsi="Arial" w:cs="Arial"/>
        </w:rPr>
        <w:t>ěti</w:t>
      </w:r>
      <w:r w:rsidRPr="00125783">
        <w:rPr>
          <w:rFonts w:ascii="Arial" w:hAnsi="Arial" w:cs="Arial"/>
        </w:rPr>
        <w:t xml:space="preserve"> ve věku 6-18 let</w:t>
      </w:r>
      <w:r w:rsidR="00016763" w:rsidRPr="00125783">
        <w:rPr>
          <w:rFonts w:ascii="Arial" w:hAnsi="Arial" w:cs="Arial"/>
        </w:rPr>
        <w:t xml:space="preserve">, </w:t>
      </w:r>
    </w:p>
    <w:p w:rsidR="00C434F9" w:rsidRPr="00125783" w:rsidRDefault="00C434F9" w:rsidP="00306691">
      <w:pPr>
        <w:pStyle w:val="Odstavecseseznamem"/>
        <w:numPr>
          <w:ilvl w:val="0"/>
          <w:numId w:val="17"/>
        </w:numPr>
        <w:spacing w:after="0" w:line="240" w:lineRule="auto"/>
        <w:ind w:left="992" w:hanging="425"/>
        <w:contextualSpacing w:val="0"/>
        <w:jc w:val="both"/>
        <w:rPr>
          <w:rFonts w:ascii="Arial" w:hAnsi="Arial" w:cs="Arial"/>
        </w:rPr>
      </w:pPr>
      <w:r w:rsidRPr="00125783">
        <w:rPr>
          <w:rFonts w:ascii="Arial" w:hAnsi="Arial" w:cs="Arial"/>
        </w:rPr>
        <w:t>studenty ve věku 18-26 let a</w:t>
      </w:r>
    </w:p>
    <w:p w:rsidR="00C434F9" w:rsidRPr="00125783" w:rsidRDefault="00016763" w:rsidP="00306691">
      <w:pPr>
        <w:pStyle w:val="Odstavecseseznamem"/>
        <w:numPr>
          <w:ilvl w:val="0"/>
          <w:numId w:val="17"/>
        </w:numPr>
        <w:spacing w:after="120" w:line="240" w:lineRule="auto"/>
        <w:ind w:left="993" w:hanging="426"/>
        <w:contextualSpacing w:val="0"/>
        <w:jc w:val="both"/>
        <w:rPr>
          <w:rFonts w:ascii="Arial" w:hAnsi="Arial" w:cs="Arial"/>
        </w:rPr>
      </w:pPr>
      <w:r w:rsidRPr="00125783">
        <w:rPr>
          <w:rFonts w:ascii="Arial" w:hAnsi="Arial" w:cs="Arial"/>
        </w:rPr>
        <w:t>seniory</w:t>
      </w:r>
      <w:r w:rsidR="00C434F9" w:rsidRPr="00125783">
        <w:rPr>
          <w:rFonts w:ascii="Arial" w:hAnsi="Arial" w:cs="Arial"/>
        </w:rPr>
        <w:t xml:space="preserve"> ve věku nad 65 let</w:t>
      </w:r>
      <w:r w:rsidRPr="00125783">
        <w:rPr>
          <w:rFonts w:ascii="Arial" w:hAnsi="Arial" w:cs="Arial"/>
        </w:rPr>
        <w:t xml:space="preserve">, </w:t>
      </w:r>
    </w:p>
    <w:p w:rsidR="00C434F9" w:rsidRPr="00125783" w:rsidRDefault="00016763" w:rsidP="00306691">
      <w:pPr>
        <w:spacing w:after="120" w:line="240" w:lineRule="auto"/>
        <w:ind w:left="567"/>
        <w:jc w:val="both"/>
        <w:rPr>
          <w:rFonts w:ascii="Arial" w:hAnsi="Arial" w:cs="Arial"/>
        </w:rPr>
      </w:pPr>
      <w:r w:rsidRPr="00125783">
        <w:rPr>
          <w:rFonts w:ascii="Arial" w:hAnsi="Arial" w:cs="Arial"/>
        </w:rPr>
        <w:t>které bylo iniciováno na základě programového prohlášení vlády v roce 2018</w:t>
      </w:r>
      <w:r w:rsidR="001C410D" w:rsidRPr="00125783">
        <w:rPr>
          <w:rFonts w:ascii="Arial" w:hAnsi="Arial" w:cs="Arial"/>
        </w:rPr>
        <w:t>.</w:t>
      </w:r>
      <w:r w:rsidR="00C434F9" w:rsidRPr="00125783">
        <w:rPr>
          <w:rFonts w:ascii="Arial" w:hAnsi="Arial" w:cs="Arial"/>
        </w:rPr>
        <w:t xml:space="preserve"> </w:t>
      </w:r>
      <w:r w:rsidR="00003BB3" w:rsidRPr="00125783">
        <w:rPr>
          <w:rFonts w:ascii="Arial" w:hAnsi="Arial" w:cs="Arial"/>
        </w:rPr>
        <w:t>Vláda schválila</w:t>
      </w:r>
      <w:r w:rsidR="00C434F9" w:rsidRPr="00125783">
        <w:rPr>
          <w:rStyle w:val="Znakapoznpodarou"/>
          <w:rFonts w:ascii="Arial" w:hAnsi="Arial" w:cs="Arial"/>
        </w:rPr>
        <w:footnoteReference w:id="5"/>
      </w:r>
      <w:r w:rsidR="00003BB3" w:rsidRPr="00125783">
        <w:rPr>
          <w:rFonts w:ascii="Arial" w:hAnsi="Arial" w:cs="Arial"/>
        </w:rPr>
        <w:t xml:space="preserve"> 75 % slevu ve vlacích i autobusech </w:t>
      </w:r>
      <w:r w:rsidR="003F1DEA" w:rsidRPr="00125783">
        <w:rPr>
          <w:rFonts w:ascii="Arial" w:hAnsi="Arial" w:cs="Arial"/>
        </w:rPr>
        <w:t xml:space="preserve">a </w:t>
      </w:r>
      <w:r w:rsidR="00003BB3" w:rsidRPr="00125783">
        <w:rPr>
          <w:rFonts w:ascii="Arial" w:hAnsi="Arial" w:cs="Arial"/>
        </w:rPr>
        <w:t xml:space="preserve">na úhradu ztráty </w:t>
      </w:r>
      <w:r w:rsidR="00C434F9" w:rsidRPr="00125783">
        <w:rPr>
          <w:rFonts w:ascii="Arial" w:hAnsi="Arial" w:cs="Arial"/>
        </w:rPr>
        <w:t>dopravců vyčlenila 6 mld. Kč ročně</w:t>
      </w:r>
      <w:r w:rsidR="00C434F9" w:rsidRPr="00125783">
        <w:rPr>
          <w:rStyle w:val="Znakapoznpodarou"/>
          <w:rFonts w:ascii="Arial" w:hAnsi="Arial" w:cs="Arial"/>
        </w:rPr>
        <w:footnoteReference w:id="6"/>
      </w:r>
      <w:r w:rsidR="003F1DEA" w:rsidRPr="00125783">
        <w:rPr>
          <w:rFonts w:ascii="Arial" w:hAnsi="Arial" w:cs="Arial"/>
        </w:rPr>
        <w:t>.</w:t>
      </w:r>
      <w:r w:rsidR="00C434F9" w:rsidRPr="00125783">
        <w:rPr>
          <w:rFonts w:ascii="Arial" w:hAnsi="Arial" w:cs="Arial"/>
        </w:rPr>
        <w:t xml:space="preserve"> Slevy se pouze neměly vztahovat na oblast městské hromadné dopravy, což působilo jisté aplikační problémy, které byly víceméně vyřešeny v rámci textace příslušného cenového výměru</w:t>
      </w:r>
      <w:r w:rsidR="00C434F9" w:rsidRPr="00125783">
        <w:rPr>
          <w:rStyle w:val="Znakapoznpodarou"/>
          <w:rFonts w:ascii="Arial" w:hAnsi="Arial" w:cs="Arial"/>
        </w:rPr>
        <w:footnoteReference w:id="7"/>
      </w:r>
      <w:r w:rsidR="00C434F9" w:rsidRPr="00125783">
        <w:rPr>
          <w:rFonts w:ascii="Arial" w:hAnsi="Arial" w:cs="Arial"/>
        </w:rPr>
        <w:t>.</w:t>
      </w:r>
    </w:p>
    <w:p w:rsidR="00DC758E" w:rsidRPr="00125783" w:rsidRDefault="00C434F9"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 xml:space="preserve">Ministerstvo financí předmětné slevy vyhlásilo </w:t>
      </w:r>
      <w:r w:rsidR="003E6205" w:rsidRPr="00125783">
        <w:rPr>
          <w:rFonts w:ascii="Arial" w:hAnsi="Arial" w:cs="Arial"/>
        </w:rPr>
        <w:t xml:space="preserve">dne </w:t>
      </w:r>
      <w:r w:rsidRPr="00125783">
        <w:rPr>
          <w:rFonts w:ascii="Arial" w:hAnsi="Arial" w:cs="Arial"/>
        </w:rPr>
        <w:t xml:space="preserve">10. května 2018, a to </w:t>
      </w:r>
      <w:r w:rsidRPr="00125783">
        <w:rPr>
          <w:rFonts w:ascii="Arial" w:hAnsi="Arial" w:cs="Arial"/>
          <w:i/>
        </w:rPr>
        <w:t>výměrem MF č.</w:t>
      </w:r>
      <w:r w:rsidR="00125783">
        <w:rPr>
          <w:rFonts w:ascii="Arial" w:hAnsi="Arial" w:cs="Arial"/>
          <w:i/>
        </w:rPr>
        <w:t> </w:t>
      </w:r>
      <w:r w:rsidRPr="00125783">
        <w:rPr>
          <w:rFonts w:ascii="Arial" w:hAnsi="Arial" w:cs="Arial"/>
          <w:i/>
        </w:rPr>
        <w:t>02/2018, kterým se vydává seznam zboží s regulovanými cenami</w:t>
      </w:r>
      <w:r w:rsidRPr="00125783">
        <w:rPr>
          <w:rFonts w:ascii="Arial" w:hAnsi="Arial" w:cs="Arial"/>
        </w:rPr>
        <w:t xml:space="preserve">. Ministerstvo dopravy </w:t>
      </w:r>
      <w:r w:rsidR="00DC758E" w:rsidRPr="00125783">
        <w:rPr>
          <w:rFonts w:ascii="Arial" w:hAnsi="Arial" w:cs="Arial"/>
        </w:rPr>
        <w:t xml:space="preserve">následně </w:t>
      </w:r>
      <w:r w:rsidRPr="00125783">
        <w:rPr>
          <w:rFonts w:ascii="Arial" w:hAnsi="Arial" w:cs="Arial"/>
        </w:rPr>
        <w:t xml:space="preserve">vydalo metodické pokyny k uplatňování slev a jejich kompenzacím a uzavřelo s jednotlivými dopravci smlouvu o kompenzacích slev. Doposud </w:t>
      </w:r>
      <w:r w:rsidR="00820ECA">
        <w:rPr>
          <w:rFonts w:ascii="Arial" w:hAnsi="Arial" w:cs="Arial"/>
        </w:rPr>
        <w:t xml:space="preserve">byly uzavřeny smlouvy celkem </w:t>
      </w:r>
      <w:proofErr w:type="gramStart"/>
      <w:r w:rsidR="00820ECA">
        <w:rPr>
          <w:rFonts w:ascii="Arial" w:hAnsi="Arial" w:cs="Arial"/>
        </w:rPr>
        <w:t>se</w:t>
      </w:r>
      <w:proofErr w:type="gramEnd"/>
      <w:r w:rsidR="00820ECA">
        <w:rPr>
          <w:rFonts w:ascii="Arial" w:hAnsi="Arial" w:cs="Arial"/>
        </w:rPr>
        <w:t> </w:t>
      </w:r>
      <w:r w:rsidRPr="00125783">
        <w:rPr>
          <w:rFonts w:ascii="Arial" w:hAnsi="Arial" w:cs="Arial"/>
        </w:rPr>
        <w:t>190 dopravci.</w:t>
      </w:r>
      <w:r w:rsidR="00DC758E" w:rsidRPr="00125783">
        <w:rPr>
          <w:rFonts w:ascii="Arial" w:hAnsi="Arial" w:cs="Arial"/>
        </w:rPr>
        <w:t xml:space="preserve"> </w:t>
      </w:r>
    </w:p>
    <w:p w:rsidR="00945417" w:rsidRPr="00125783" w:rsidRDefault="00945417"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 xml:space="preserve">Kompenzace těchto slev se </w:t>
      </w:r>
      <w:r w:rsidR="00C434F9" w:rsidRPr="00125783">
        <w:rPr>
          <w:rFonts w:ascii="Arial" w:hAnsi="Arial" w:cs="Arial"/>
        </w:rPr>
        <w:t>realizuje</w:t>
      </w:r>
      <w:r w:rsidRPr="00125783">
        <w:rPr>
          <w:rFonts w:ascii="Arial" w:hAnsi="Arial" w:cs="Arial"/>
        </w:rPr>
        <w:t xml:space="preserve"> modelem podle písm. b) výše, tedy samostatným mechanismem</w:t>
      </w:r>
      <w:r w:rsidR="00DC758E" w:rsidRPr="00125783">
        <w:rPr>
          <w:rFonts w:ascii="Arial" w:hAnsi="Arial" w:cs="Arial"/>
        </w:rPr>
        <w:t>. Ú</w:t>
      </w:r>
      <w:r w:rsidRPr="00125783">
        <w:rPr>
          <w:rFonts w:ascii="Arial" w:hAnsi="Arial" w:cs="Arial"/>
        </w:rPr>
        <w:t>prava všech smluv o veř</w:t>
      </w:r>
      <w:r w:rsidR="00C434F9" w:rsidRPr="00125783">
        <w:rPr>
          <w:rFonts w:ascii="Arial" w:hAnsi="Arial" w:cs="Arial"/>
        </w:rPr>
        <w:t xml:space="preserve">ejných službách by </w:t>
      </w:r>
      <w:r w:rsidR="00DC758E" w:rsidRPr="00125783">
        <w:rPr>
          <w:rFonts w:ascii="Arial" w:hAnsi="Arial" w:cs="Arial"/>
        </w:rPr>
        <w:t>věcně i administrativně nebyla zvládnutelná, a tedy model ad a) výše v úvahu nepřichází</w:t>
      </w:r>
      <w:r w:rsidR="00C434F9" w:rsidRPr="00125783">
        <w:rPr>
          <w:rFonts w:ascii="Arial" w:hAnsi="Arial" w:cs="Arial"/>
        </w:rPr>
        <w:t>. Vychází se </w:t>
      </w:r>
      <w:r w:rsidRPr="00125783">
        <w:rPr>
          <w:rFonts w:ascii="Arial" w:hAnsi="Arial" w:cs="Arial"/>
        </w:rPr>
        <w:t xml:space="preserve">primárně </w:t>
      </w:r>
      <w:r w:rsidR="00C434F9" w:rsidRPr="00125783">
        <w:rPr>
          <w:rFonts w:ascii="Arial" w:hAnsi="Arial" w:cs="Arial"/>
        </w:rPr>
        <w:t>z </w:t>
      </w:r>
      <w:r w:rsidRPr="00125783">
        <w:rPr>
          <w:rFonts w:ascii="Arial" w:hAnsi="Arial" w:cs="Arial"/>
        </w:rPr>
        <w:t>dopravcem předložených záznamů o vydaných jízdenkách z odbavovacích strojků ve</w:t>
      </w:r>
      <w:r w:rsidR="00820ECA">
        <w:rPr>
          <w:rFonts w:ascii="Arial" w:hAnsi="Arial" w:cs="Arial"/>
        </w:rPr>
        <w:t> </w:t>
      </w:r>
      <w:r w:rsidRPr="00125783">
        <w:rPr>
          <w:rFonts w:ascii="Arial" w:hAnsi="Arial" w:cs="Arial"/>
        </w:rPr>
        <w:t xml:space="preserve">vozidlech dopravce nebo z předprodejních systémů. </w:t>
      </w:r>
    </w:p>
    <w:p w:rsidR="00003BB3" w:rsidRDefault="00945417"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P</w:t>
      </w:r>
      <w:r w:rsidR="00CF5490" w:rsidRPr="00125783">
        <w:rPr>
          <w:rFonts w:ascii="Arial" w:hAnsi="Arial" w:cs="Arial"/>
        </w:rPr>
        <w:t xml:space="preserve">řibližně po </w:t>
      </w:r>
      <w:r w:rsidR="00003BB3" w:rsidRPr="00125783">
        <w:rPr>
          <w:rFonts w:ascii="Arial" w:hAnsi="Arial" w:cs="Arial"/>
        </w:rPr>
        <w:t xml:space="preserve">roce od spuštění </w:t>
      </w:r>
      <w:r w:rsidR="00CF5490" w:rsidRPr="00125783">
        <w:rPr>
          <w:rFonts w:ascii="Arial" w:hAnsi="Arial" w:cs="Arial"/>
        </w:rPr>
        <w:t xml:space="preserve">systému úhrady státem nově nařízených slev se objevily </w:t>
      </w:r>
      <w:r w:rsidR="000067BF" w:rsidRPr="00125783">
        <w:rPr>
          <w:rFonts w:ascii="Arial" w:hAnsi="Arial" w:cs="Arial"/>
        </w:rPr>
        <w:t xml:space="preserve">obtíže </w:t>
      </w:r>
      <w:r w:rsidR="00CF5490" w:rsidRPr="00125783">
        <w:rPr>
          <w:rFonts w:ascii="Arial" w:hAnsi="Arial" w:cs="Arial"/>
        </w:rPr>
        <w:t xml:space="preserve">s ohledem </w:t>
      </w:r>
      <w:r w:rsidR="00306691" w:rsidRPr="00125783">
        <w:rPr>
          <w:rFonts w:ascii="Arial" w:hAnsi="Arial" w:cs="Arial"/>
        </w:rPr>
        <w:t>na proměnnou</w:t>
      </w:r>
      <w:r w:rsidR="00003BB3" w:rsidRPr="00125783">
        <w:rPr>
          <w:rFonts w:ascii="Arial" w:hAnsi="Arial" w:cs="Arial"/>
        </w:rPr>
        <w:t xml:space="preserve"> cenotvorb</w:t>
      </w:r>
      <w:r w:rsidR="00CF5490" w:rsidRPr="00125783">
        <w:rPr>
          <w:rFonts w:ascii="Arial" w:hAnsi="Arial" w:cs="Arial"/>
        </w:rPr>
        <w:t>u</w:t>
      </w:r>
      <w:r w:rsidR="00003BB3" w:rsidRPr="00125783">
        <w:rPr>
          <w:rFonts w:ascii="Arial" w:hAnsi="Arial" w:cs="Arial"/>
        </w:rPr>
        <w:t xml:space="preserve"> </w:t>
      </w:r>
      <w:r w:rsidR="00DA3E39" w:rsidRPr="00125783">
        <w:rPr>
          <w:rFonts w:ascii="Arial" w:hAnsi="Arial" w:cs="Arial"/>
        </w:rPr>
        <w:t xml:space="preserve">některých dopravců, </w:t>
      </w:r>
      <w:r w:rsidR="00003BB3" w:rsidRPr="00125783">
        <w:rPr>
          <w:rFonts w:ascii="Arial" w:hAnsi="Arial" w:cs="Arial"/>
        </w:rPr>
        <w:t>kdy některé jízdenky byly výrazně dražší, n</w:t>
      </w:r>
      <w:r w:rsidR="00CF5490" w:rsidRPr="00125783">
        <w:rPr>
          <w:rFonts w:ascii="Arial" w:hAnsi="Arial" w:cs="Arial"/>
        </w:rPr>
        <w:t>ež je obvyklá cena</w:t>
      </w:r>
      <w:r w:rsidR="00DC758E" w:rsidRPr="00125783">
        <w:rPr>
          <w:rStyle w:val="Znakapoznpodarou"/>
          <w:rFonts w:ascii="Arial" w:hAnsi="Arial" w:cs="Arial"/>
        </w:rPr>
        <w:footnoteReference w:id="8"/>
      </w:r>
      <w:r w:rsidR="00CF5490" w:rsidRPr="00125783">
        <w:rPr>
          <w:rFonts w:ascii="Arial" w:hAnsi="Arial" w:cs="Arial"/>
        </w:rPr>
        <w:t xml:space="preserve">. Proto </w:t>
      </w:r>
      <w:r w:rsidR="00DA3E39" w:rsidRPr="00125783">
        <w:rPr>
          <w:rFonts w:ascii="Arial" w:hAnsi="Arial" w:cs="Arial"/>
        </w:rPr>
        <w:t>Ministerstvo dopravy s Ministerstvem financí</w:t>
      </w:r>
      <w:r w:rsidR="00003BB3" w:rsidRPr="00125783">
        <w:rPr>
          <w:rFonts w:ascii="Arial" w:hAnsi="Arial" w:cs="Arial"/>
        </w:rPr>
        <w:t xml:space="preserve"> </w:t>
      </w:r>
      <w:r w:rsidR="00CF5490" w:rsidRPr="00125783">
        <w:rPr>
          <w:rFonts w:ascii="Arial" w:hAnsi="Arial" w:cs="Arial"/>
        </w:rPr>
        <w:t xml:space="preserve">sjednalo </w:t>
      </w:r>
      <w:r w:rsidR="00003BB3" w:rsidRPr="00125783">
        <w:rPr>
          <w:rFonts w:ascii="Arial" w:hAnsi="Arial" w:cs="Arial"/>
        </w:rPr>
        <w:t xml:space="preserve">stanovení stropu jízdného pro výpočet slevy na limit odvozený od </w:t>
      </w:r>
      <w:r w:rsidR="00DA3E39" w:rsidRPr="00125783">
        <w:rPr>
          <w:rFonts w:ascii="Arial" w:hAnsi="Arial" w:cs="Arial"/>
        </w:rPr>
        <w:t xml:space="preserve">tehdy </w:t>
      </w:r>
      <w:r w:rsidR="00003BB3" w:rsidRPr="00125783">
        <w:rPr>
          <w:rFonts w:ascii="Arial" w:hAnsi="Arial" w:cs="Arial"/>
        </w:rPr>
        <w:t>připravovaného systému jednotného tarifu (</w:t>
      </w:r>
      <w:r w:rsidR="00DA3E39" w:rsidRPr="00125783">
        <w:rPr>
          <w:rFonts w:ascii="Arial" w:hAnsi="Arial" w:cs="Arial"/>
        </w:rPr>
        <w:t xml:space="preserve">jízdenek označovaných obchodně jako </w:t>
      </w:r>
      <w:r w:rsidR="00DA3E39" w:rsidRPr="00125783">
        <w:rPr>
          <w:rFonts w:ascii="Arial" w:hAnsi="Arial" w:cs="Arial"/>
          <w:i/>
        </w:rPr>
        <w:t>„</w:t>
      </w:r>
      <w:proofErr w:type="spellStart"/>
      <w:r w:rsidR="00DA3E39" w:rsidRPr="00125783">
        <w:rPr>
          <w:rFonts w:ascii="Arial" w:hAnsi="Arial" w:cs="Arial"/>
          <w:i/>
        </w:rPr>
        <w:t>One</w:t>
      </w:r>
      <w:r w:rsidR="00003BB3" w:rsidRPr="00125783">
        <w:rPr>
          <w:rFonts w:ascii="Arial" w:hAnsi="Arial" w:cs="Arial"/>
          <w:i/>
        </w:rPr>
        <w:t>Ticket</w:t>
      </w:r>
      <w:proofErr w:type="spellEnd"/>
      <w:r w:rsidR="00003BB3" w:rsidRPr="00125783">
        <w:rPr>
          <w:rFonts w:ascii="Arial" w:hAnsi="Arial" w:cs="Arial"/>
          <w:i/>
        </w:rPr>
        <w:t>“</w:t>
      </w:r>
      <w:r w:rsidR="00003BB3" w:rsidRPr="00125783">
        <w:rPr>
          <w:rFonts w:ascii="Arial" w:hAnsi="Arial" w:cs="Arial"/>
        </w:rPr>
        <w:t>)</w:t>
      </w:r>
      <w:r w:rsidR="00CF5490" w:rsidRPr="00125783">
        <w:rPr>
          <w:rFonts w:ascii="Arial" w:hAnsi="Arial" w:cs="Arial"/>
        </w:rPr>
        <w:t xml:space="preserve">. </w:t>
      </w:r>
      <w:r w:rsidR="00003BB3" w:rsidRPr="00125783">
        <w:rPr>
          <w:rFonts w:ascii="Arial" w:hAnsi="Arial" w:cs="Arial"/>
        </w:rPr>
        <w:t>M</w:t>
      </w:r>
      <w:r w:rsidR="00CF5490" w:rsidRPr="00125783">
        <w:rPr>
          <w:rFonts w:ascii="Arial" w:hAnsi="Arial" w:cs="Arial"/>
        </w:rPr>
        <w:t>inisterstvo financí vydalo dne 1.</w:t>
      </w:r>
      <w:r w:rsidR="00DC758E" w:rsidRPr="00125783">
        <w:rPr>
          <w:rFonts w:ascii="Arial" w:hAnsi="Arial" w:cs="Arial"/>
        </w:rPr>
        <w:t> </w:t>
      </w:r>
      <w:r w:rsidR="00CF5490" w:rsidRPr="00125783">
        <w:rPr>
          <w:rFonts w:ascii="Arial" w:hAnsi="Arial" w:cs="Arial"/>
        </w:rPr>
        <w:t>listopadu 2019 předmětnou</w:t>
      </w:r>
      <w:r w:rsidR="00003BB3" w:rsidRPr="00125783">
        <w:rPr>
          <w:rFonts w:ascii="Arial" w:hAnsi="Arial" w:cs="Arial"/>
        </w:rPr>
        <w:t xml:space="preserve"> regulaci Výměrem</w:t>
      </w:r>
      <w:r w:rsidR="00CF5490" w:rsidRPr="00125783">
        <w:rPr>
          <w:rFonts w:ascii="Arial" w:hAnsi="Arial" w:cs="Arial"/>
        </w:rPr>
        <w:t xml:space="preserve"> MF</w:t>
      </w:r>
      <w:r w:rsidR="00003BB3" w:rsidRPr="00125783">
        <w:rPr>
          <w:rFonts w:ascii="Arial" w:hAnsi="Arial" w:cs="Arial"/>
        </w:rPr>
        <w:t xml:space="preserve"> č.</w:t>
      </w:r>
      <w:r w:rsidR="00CF5490" w:rsidRPr="00125783">
        <w:rPr>
          <w:rFonts w:ascii="Arial" w:hAnsi="Arial" w:cs="Arial"/>
        </w:rPr>
        <w:t xml:space="preserve"> 05/2019 s účinností od</w:t>
      </w:r>
      <w:r w:rsidR="00DC758E" w:rsidRPr="00125783">
        <w:rPr>
          <w:rFonts w:ascii="Arial" w:hAnsi="Arial" w:cs="Arial"/>
        </w:rPr>
        <w:t> </w:t>
      </w:r>
      <w:r w:rsidR="00CF5490" w:rsidRPr="00125783">
        <w:rPr>
          <w:rFonts w:ascii="Arial" w:hAnsi="Arial" w:cs="Arial"/>
        </w:rPr>
        <w:t>1.</w:t>
      </w:r>
      <w:r w:rsidR="00DC758E" w:rsidRPr="00125783">
        <w:rPr>
          <w:rFonts w:ascii="Arial" w:hAnsi="Arial" w:cs="Arial"/>
        </w:rPr>
        <w:t> </w:t>
      </w:r>
      <w:r w:rsidR="00CF5490" w:rsidRPr="00125783">
        <w:rPr>
          <w:rFonts w:ascii="Arial" w:hAnsi="Arial" w:cs="Arial"/>
        </w:rPr>
        <w:t>ledna 2020. Ministerstvo dopravy k tomu vydalo k 14. listopadu 2019 novelu</w:t>
      </w:r>
      <w:r w:rsidR="00003BB3" w:rsidRPr="00125783">
        <w:rPr>
          <w:rFonts w:ascii="Arial" w:hAnsi="Arial" w:cs="Arial"/>
        </w:rPr>
        <w:t xml:space="preserve"> metodického pokynu se stanovením výše </w:t>
      </w:r>
      <w:r w:rsidR="00CF5490" w:rsidRPr="00125783">
        <w:rPr>
          <w:rFonts w:ascii="Arial" w:hAnsi="Arial" w:cs="Arial"/>
        </w:rPr>
        <w:t>limitu.</w:t>
      </w:r>
    </w:p>
    <w:p w:rsidR="00820ECA" w:rsidRPr="00820ECA" w:rsidRDefault="00820ECA" w:rsidP="00820ECA">
      <w:pPr>
        <w:spacing w:after="120" w:line="240" w:lineRule="auto"/>
        <w:jc w:val="both"/>
        <w:rPr>
          <w:rFonts w:ascii="Arial" w:hAnsi="Arial" w:cs="Arial"/>
        </w:rPr>
      </w:pPr>
    </w:p>
    <w:p w:rsidR="00DC758E" w:rsidRPr="00125783" w:rsidRDefault="003445EC" w:rsidP="00306691">
      <w:pPr>
        <w:tabs>
          <w:tab w:val="left" w:pos="567"/>
        </w:tabs>
        <w:spacing w:after="120" w:line="240" w:lineRule="auto"/>
        <w:jc w:val="both"/>
        <w:rPr>
          <w:rFonts w:ascii="Arial" w:hAnsi="Arial" w:cs="Arial"/>
          <w:b/>
          <w:noProof/>
          <w:color w:val="002060"/>
          <w:lang w:eastAsia="cs-CZ"/>
        </w:rPr>
      </w:pPr>
      <w:r w:rsidRPr="00125783">
        <w:rPr>
          <w:rFonts w:ascii="Arial" w:hAnsi="Arial" w:cs="Arial"/>
          <w:b/>
          <w:noProof/>
          <w:color w:val="002060"/>
          <w:lang w:eastAsia="cs-CZ"/>
        </w:rPr>
        <w:t>1.4</w:t>
      </w:r>
      <w:r w:rsidRPr="00125783">
        <w:rPr>
          <w:rFonts w:ascii="Arial" w:hAnsi="Arial" w:cs="Arial"/>
          <w:b/>
          <w:noProof/>
          <w:color w:val="002060"/>
          <w:lang w:eastAsia="cs-CZ"/>
        </w:rPr>
        <w:tab/>
      </w:r>
      <w:r w:rsidR="00DC758E" w:rsidRPr="00125783">
        <w:rPr>
          <w:rFonts w:ascii="Arial" w:hAnsi="Arial" w:cs="Arial"/>
          <w:b/>
          <w:noProof/>
          <w:color w:val="002060"/>
          <w:lang w:eastAsia="cs-CZ"/>
        </w:rPr>
        <w:t>Současný stav</w:t>
      </w:r>
    </w:p>
    <w:p w:rsidR="00245E76" w:rsidRPr="00820ECA" w:rsidRDefault="00DC758E" w:rsidP="00306691">
      <w:pPr>
        <w:pStyle w:val="Odstavecseseznamem"/>
        <w:numPr>
          <w:ilvl w:val="0"/>
          <w:numId w:val="10"/>
        </w:numPr>
        <w:spacing w:after="120" w:line="240" w:lineRule="auto"/>
        <w:ind w:left="567" w:hanging="567"/>
        <w:contextualSpacing w:val="0"/>
        <w:jc w:val="both"/>
        <w:rPr>
          <w:rFonts w:ascii="Arial" w:hAnsi="Arial" w:cs="Arial"/>
        </w:rPr>
      </w:pPr>
      <w:r w:rsidRPr="00125783">
        <w:rPr>
          <w:rFonts w:ascii="Arial" w:hAnsi="Arial" w:cs="Arial"/>
        </w:rPr>
        <w:t>V důsledku uvedeného vývoje je v současné době ze strany státu nařizováno</w:t>
      </w:r>
      <w:r w:rsidR="00326A69" w:rsidRPr="00125783">
        <w:rPr>
          <w:rFonts w:ascii="Arial" w:hAnsi="Arial" w:cs="Arial"/>
        </w:rPr>
        <w:t xml:space="preserve"> poskytování </w:t>
      </w:r>
      <w:r w:rsidRPr="00125783">
        <w:rPr>
          <w:rFonts w:ascii="Arial" w:hAnsi="Arial" w:cs="Arial"/>
        </w:rPr>
        <w:t xml:space="preserve">velmi </w:t>
      </w:r>
      <w:r w:rsidR="00326A69" w:rsidRPr="00125783">
        <w:rPr>
          <w:rFonts w:ascii="Arial" w:hAnsi="Arial" w:cs="Arial"/>
        </w:rPr>
        <w:t>širokého portfolia</w:t>
      </w:r>
      <w:r w:rsidRPr="00125783">
        <w:rPr>
          <w:rFonts w:ascii="Arial" w:hAnsi="Arial" w:cs="Arial"/>
        </w:rPr>
        <w:t xml:space="preserve"> slev pro </w:t>
      </w:r>
      <w:r w:rsidRPr="00125783">
        <w:rPr>
          <w:rFonts w:ascii="Arial" w:hAnsi="Arial" w:cs="Arial"/>
          <w:i/>
        </w:rPr>
        <w:t>děti, žáky, studenty,</w:t>
      </w:r>
      <w:r w:rsidR="00326A69" w:rsidRPr="00125783">
        <w:rPr>
          <w:rFonts w:ascii="Arial" w:hAnsi="Arial" w:cs="Arial"/>
          <w:i/>
        </w:rPr>
        <w:t xml:space="preserve"> seniory</w:t>
      </w:r>
      <w:r w:rsidRPr="00125783">
        <w:rPr>
          <w:rFonts w:ascii="Arial" w:hAnsi="Arial" w:cs="Arial"/>
          <w:i/>
        </w:rPr>
        <w:t xml:space="preserve"> a zdravotně postižené cestující</w:t>
      </w:r>
      <w:r w:rsidR="00326A69" w:rsidRPr="00125783">
        <w:rPr>
          <w:rFonts w:ascii="Arial" w:hAnsi="Arial" w:cs="Arial"/>
        </w:rPr>
        <w:t>. Tyto slevy stanovuje cenový výměr Ministerstva fin</w:t>
      </w:r>
      <w:r w:rsidRPr="00125783">
        <w:rPr>
          <w:rFonts w:ascii="Arial" w:hAnsi="Arial" w:cs="Arial"/>
        </w:rPr>
        <w:t>ancí po dohodě s naším úřadem. Jak už bylo uvedeno výše, u</w:t>
      </w:r>
      <w:r w:rsidR="00326A69" w:rsidRPr="00125783">
        <w:rPr>
          <w:rFonts w:ascii="Arial" w:hAnsi="Arial" w:cs="Arial"/>
        </w:rPr>
        <w:t xml:space="preserve">nijní právo pak stanoví, že pokud se rozhodne stát nařizovat poskytování slev sociálního či jiného charakteru, musí kompenzovat dopravcům výpadky výnosů, které jsou s poskytováním slev spojeny. Slevy jsou nařizovány </w:t>
      </w:r>
      <w:r w:rsidRPr="00125783">
        <w:rPr>
          <w:rFonts w:ascii="Arial" w:hAnsi="Arial" w:cs="Arial"/>
        </w:rPr>
        <w:t xml:space="preserve">ve </w:t>
      </w:r>
      <w:r w:rsidR="00326A69" w:rsidRPr="00125783">
        <w:rPr>
          <w:rFonts w:ascii="Arial" w:hAnsi="Arial" w:cs="Arial"/>
        </w:rPr>
        <w:t>všech</w:t>
      </w:r>
      <w:r w:rsidRPr="00125783">
        <w:rPr>
          <w:rFonts w:ascii="Arial" w:hAnsi="Arial" w:cs="Arial"/>
        </w:rPr>
        <w:t xml:space="preserve"> druzích dopravy, s výjimkou městské hromadné dopravy</w:t>
      </w:r>
      <w:r w:rsidR="00326A69" w:rsidRPr="00125783">
        <w:rPr>
          <w:rFonts w:ascii="Arial" w:hAnsi="Arial" w:cs="Arial"/>
        </w:rPr>
        <w:t>, kde se nařízení slev omezuje na kategorie, které jsou stanoveny na základě zákona (přeprava zdravotně postižených občanů).</w:t>
      </w:r>
    </w:p>
    <w:p w:rsidR="00DC758E" w:rsidRPr="00820ECA" w:rsidRDefault="00DC758E" w:rsidP="00820ECA">
      <w:pPr>
        <w:spacing w:after="120" w:line="240" w:lineRule="auto"/>
        <w:ind w:left="567"/>
        <w:jc w:val="both"/>
        <w:rPr>
          <w:rFonts w:ascii="Arial" w:hAnsi="Arial" w:cs="Arial"/>
          <w:b/>
          <w:color w:val="002060"/>
          <w:sz w:val="18"/>
          <w:szCs w:val="18"/>
        </w:rPr>
      </w:pPr>
      <w:r w:rsidRPr="00820ECA">
        <w:rPr>
          <w:rFonts w:ascii="Arial" w:hAnsi="Arial" w:cs="Arial"/>
          <w:b/>
          <w:color w:val="002060"/>
          <w:sz w:val="18"/>
          <w:szCs w:val="18"/>
        </w:rPr>
        <w:t>Tab. 1: Přehled státem nařízených slev – současný stav</w:t>
      </w:r>
    </w:p>
    <w:tbl>
      <w:tblPr>
        <w:tblStyle w:val="Mkatabulky"/>
        <w:tblW w:w="0" w:type="auto"/>
        <w:tblInd w:w="552" w:type="dxa"/>
        <w:tblLook w:val="04A0" w:firstRow="1" w:lastRow="0" w:firstColumn="1" w:lastColumn="0" w:noHBand="0" w:noVBand="1"/>
      </w:tblPr>
      <w:tblGrid>
        <w:gridCol w:w="2127"/>
        <w:gridCol w:w="1590"/>
        <w:gridCol w:w="1591"/>
        <w:gridCol w:w="1591"/>
        <w:gridCol w:w="1591"/>
      </w:tblGrid>
      <w:tr w:rsidR="00DC758E" w:rsidRPr="00820ECA" w:rsidTr="00820ECA">
        <w:tc>
          <w:tcPr>
            <w:tcW w:w="2127" w:type="dxa"/>
            <w:vMerge w:val="restart"/>
            <w:tcBorders>
              <w:top w:val="single" w:sz="12" w:space="0" w:color="auto"/>
              <w:left w:val="single" w:sz="12" w:space="0" w:color="auto"/>
            </w:tcBorders>
            <w:shd w:val="clear" w:color="auto" w:fill="FFF2CC" w:themeFill="accent4" w:themeFillTint="33"/>
          </w:tcPr>
          <w:p w:rsidR="00DC758E" w:rsidRPr="00820ECA" w:rsidRDefault="00DC758E" w:rsidP="00306691">
            <w:pPr>
              <w:spacing w:after="120"/>
              <w:rPr>
                <w:rFonts w:ascii="Arial" w:hAnsi="Arial" w:cs="Arial"/>
                <w:sz w:val="18"/>
                <w:szCs w:val="18"/>
              </w:rPr>
            </w:pPr>
            <w:r w:rsidRPr="00820ECA">
              <w:rPr>
                <w:rFonts w:ascii="Arial" w:hAnsi="Arial" w:cs="Arial"/>
                <w:sz w:val="18"/>
                <w:szCs w:val="18"/>
              </w:rPr>
              <w:t xml:space="preserve">Skupina cestujících </w:t>
            </w:r>
          </w:p>
        </w:tc>
        <w:tc>
          <w:tcPr>
            <w:tcW w:w="6363" w:type="dxa"/>
            <w:gridSpan w:val="4"/>
            <w:tcBorders>
              <w:top w:val="single" w:sz="12" w:space="0" w:color="auto"/>
              <w:right w:val="single" w:sz="12" w:space="0" w:color="auto"/>
            </w:tcBorders>
            <w:shd w:val="clear" w:color="auto" w:fill="FFF2CC" w:themeFill="accent4" w:themeFillTint="33"/>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Přepravní služby zajišťované</w:t>
            </w:r>
          </w:p>
        </w:tc>
      </w:tr>
      <w:tr w:rsidR="00DC758E" w:rsidRPr="00820ECA" w:rsidTr="00820ECA">
        <w:tc>
          <w:tcPr>
            <w:tcW w:w="2127" w:type="dxa"/>
            <w:vMerge/>
            <w:tcBorders>
              <w:left w:val="single" w:sz="12" w:space="0" w:color="auto"/>
              <w:bottom w:val="single" w:sz="12" w:space="0" w:color="auto"/>
            </w:tcBorders>
            <w:shd w:val="clear" w:color="auto" w:fill="FFF2CC" w:themeFill="accent4" w:themeFillTint="33"/>
          </w:tcPr>
          <w:p w:rsidR="00DC758E" w:rsidRPr="00820ECA" w:rsidRDefault="00DC758E" w:rsidP="00306691">
            <w:pPr>
              <w:spacing w:after="120"/>
              <w:rPr>
                <w:rFonts w:ascii="Arial" w:hAnsi="Arial" w:cs="Arial"/>
                <w:sz w:val="18"/>
                <w:szCs w:val="18"/>
              </w:rPr>
            </w:pPr>
          </w:p>
        </w:tc>
        <w:tc>
          <w:tcPr>
            <w:tcW w:w="1590" w:type="dxa"/>
            <w:tcBorders>
              <w:bottom w:val="single" w:sz="12" w:space="0" w:color="auto"/>
            </w:tcBorders>
            <w:shd w:val="clear" w:color="auto" w:fill="FFF2CC" w:themeFill="accent4" w:themeFillTint="33"/>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IDS mimo MHD</w:t>
            </w:r>
          </w:p>
        </w:tc>
        <w:tc>
          <w:tcPr>
            <w:tcW w:w="1591" w:type="dxa"/>
            <w:tcBorders>
              <w:bottom w:val="single" w:sz="12" w:space="0" w:color="auto"/>
            </w:tcBorders>
            <w:shd w:val="clear" w:color="auto" w:fill="FFF2CC" w:themeFill="accent4" w:themeFillTint="33"/>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železniční mimo IDS</w:t>
            </w:r>
          </w:p>
        </w:tc>
        <w:tc>
          <w:tcPr>
            <w:tcW w:w="1591" w:type="dxa"/>
            <w:tcBorders>
              <w:bottom w:val="single" w:sz="12" w:space="0" w:color="auto"/>
            </w:tcBorders>
            <w:shd w:val="clear" w:color="auto" w:fill="FFF2CC" w:themeFill="accent4" w:themeFillTint="33"/>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autobusová mimo IDS</w:t>
            </w:r>
          </w:p>
        </w:tc>
        <w:tc>
          <w:tcPr>
            <w:tcW w:w="1591" w:type="dxa"/>
            <w:tcBorders>
              <w:bottom w:val="single" w:sz="12" w:space="0" w:color="auto"/>
              <w:right w:val="single" w:sz="12" w:space="0" w:color="auto"/>
            </w:tcBorders>
            <w:shd w:val="clear" w:color="auto" w:fill="FFF2CC" w:themeFill="accent4" w:themeFillTint="33"/>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 xml:space="preserve">MHD </w:t>
            </w:r>
          </w:p>
        </w:tc>
      </w:tr>
      <w:tr w:rsidR="00DC758E" w:rsidRPr="00820ECA" w:rsidTr="00820ECA">
        <w:tc>
          <w:tcPr>
            <w:tcW w:w="2127" w:type="dxa"/>
            <w:tcBorders>
              <w:top w:val="single" w:sz="12" w:space="0" w:color="auto"/>
            </w:tcBorders>
          </w:tcPr>
          <w:p w:rsidR="00DC758E" w:rsidRPr="00820ECA" w:rsidRDefault="00DC758E" w:rsidP="00306691">
            <w:pPr>
              <w:spacing w:after="120"/>
              <w:rPr>
                <w:rFonts w:ascii="Arial" w:hAnsi="Arial" w:cs="Arial"/>
                <w:sz w:val="18"/>
                <w:szCs w:val="18"/>
              </w:rPr>
            </w:pPr>
            <w:r w:rsidRPr="00820ECA">
              <w:rPr>
                <w:rFonts w:ascii="Arial" w:hAnsi="Arial" w:cs="Arial"/>
                <w:sz w:val="18"/>
                <w:szCs w:val="18"/>
              </w:rPr>
              <w:t>děti do 6 let</w:t>
            </w:r>
          </w:p>
        </w:tc>
        <w:tc>
          <w:tcPr>
            <w:tcW w:w="1590" w:type="dxa"/>
            <w:tcBorders>
              <w:top w:val="single" w:sz="12" w:space="0" w:color="auto"/>
            </w:tcBorders>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bezplatně, max. 2 děti</w:t>
            </w:r>
          </w:p>
        </w:tc>
        <w:tc>
          <w:tcPr>
            <w:tcW w:w="1591" w:type="dxa"/>
            <w:tcBorders>
              <w:top w:val="single" w:sz="12" w:space="0" w:color="auto"/>
            </w:tcBorders>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bezplatně, max. 2 děti</w:t>
            </w:r>
          </w:p>
        </w:tc>
        <w:tc>
          <w:tcPr>
            <w:tcW w:w="1591" w:type="dxa"/>
            <w:tcBorders>
              <w:top w:val="single" w:sz="12" w:space="0" w:color="auto"/>
            </w:tcBorders>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bezplatně, max. 1 dítě</w:t>
            </w:r>
          </w:p>
        </w:tc>
        <w:tc>
          <w:tcPr>
            <w:tcW w:w="1591" w:type="dxa"/>
            <w:tcBorders>
              <w:top w:val="single" w:sz="12" w:space="0" w:color="auto"/>
            </w:tcBorders>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w:t>
            </w:r>
          </w:p>
        </w:tc>
      </w:tr>
      <w:tr w:rsidR="00DC758E" w:rsidRPr="00820ECA" w:rsidTr="00820ECA">
        <w:tc>
          <w:tcPr>
            <w:tcW w:w="2127" w:type="dxa"/>
          </w:tcPr>
          <w:p w:rsidR="00DC758E" w:rsidRPr="00820ECA" w:rsidRDefault="00573D68" w:rsidP="00306691">
            <w:pPr>
              <w:spacing w:after="120"/>
              <w:rPr>
                <w:rFonts w:ascii="Arial" w:hAnsi="Arial" w:cs="Arial"/>
                <w:sz w:val="18"/>
                <w:szCs w:val="18"/>
              </w:rPr>
            </w:pPr>
            <w:r w:rsidRPr="00820ECA">
              <w:rPr>
                <w:rFonts w:ascii="Arial" w:hAnsi="Arial" w:cs="Arial"/>
                <w:sz w:val="18"/>
                <w:szCs w:val="18"/>
              </w:rPr>
              <w:t>děti 6-18</w:t>
            </w:r>
          </w:p>
        </w:tc>
        <w:tc>
          <w:tcPr>
            <w:tcW w:w="1590"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 xml:space="preserve">75 %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w:t>
            </w:r>
          </w:p>
        </w:tc>
      </w:tr>
      <w:tr w:rsidR="00DC758E" w:rsidRPr="00820ECA" w:rsidTr="00820ECA">
        <w:tc>
          <w:tcPr>
            <w:tcW w:w="2127" w:type="dxa"/>
          </w:tcPr>
          <w:p w:rsidR="00DC758E" w:rsidRPr="00820ECA" w:rsidRDefault="00DC758E" w:rsidP="00306691">
            <w:pPr>
              <w:spacing w:after="120"/>
              <w:rPr>
                <w:rFonts w:ascii="Arial" w:hAnsi="Arial" w:cs="Arial"/>
                <w:sz w:val="18"/>
                <w:szCs w:val="18"/>
              </w:rPr>
            </w:pPr>
            <w:r w:rsidRPr="00820ECA">
              <w:rPr>
                <w:rFonts w:ascii="Arial" w:hAnsi="Arial" w:cs="Arial"/>
                <w:sz w:val="18"/>
                <w:szCs w:val="18"/>
              </w:rPr>
              <w:t xml:space="preserve">studující 18-26 </w:t>
            </w:r>
          </w:p>
        </w:tc>
        <w:tc>
          <w:tcPr>
            <w:tcW w:w="1590"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w:t>
            </w:r>
          </w:p>
        </w:tc>
      </w:tr>
      <w:tr w:rsidR="00DC758E" w:rsidRPr="00820ECA" w:rsidTr="00820ECA">
        <w:tc>
          <w:tcPr>
            <w:tcW w:w="2127" w:type="dxa"/>
          </w:tcPr>
          <w:p w:rsidR="00DC758E" w:rsidRPr="00820ECA" w:rsidRDefault="00DC758E" w:rsidP="00306691">
            <w:pPr>
              <w:spacing w:after="120"/>
              <w:rPr>
                <w:rFonts w:ascii="Arial" w:hAnsi="Arial" w:cs="Arial"/>
                <w:sz w:val="18"/>
                <w:szCs w:val="18"/>
              </w:rPr>
            </w:pPr>
            <w:r w:rsidRPr="00820ECA">
              <w:rPr>
                <w:rFonts w:ascii="Arial" w:hAnsi="Arial" w:cs="Arial"/>
                <w:sz w:val="18"/>
                <w:szCs w:val="18"/>
              </w:rPr>
              <w:t>senioři 65+</w:t>
            </w:r>
          </w:p>
        </w:tc>
        <w:tc>
          <w:tcPr>
            <w:tcW w:w="1590"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w:t>
            </w:r>
          </w:p>
        </w:tc>
      </w:tr>
      <w:tr w:rsidR="00DC758E" w:rsidRPr="00820ECA" w:rsidTr="00820ECA">
        <w:tc>
          <w:tcPr>
            <w:tcW w:w="2127" w:type="dxa"/>
          </w:tcPr>
          <w:p w:rsidR="00DC758E" w:rsidRPr="00820ECA" w:rsidRDefault="00DC758E" w:rsidP="00306691">
            <w:pPr>
              <w:spacing w:after="120"/>
              <w:rPr>
                <w:rFonts w:ascii="Arial" w:hAnsi="Arial" w:cs="Arial"/>
                <w:sz w:val="18"/>
                <w:szCs w:val="18"/>
              </w:rPr>
            </w:pPr>
            <w:r w:rsidRPr="00820ECA">
              <w:rPr>
                <w:rFonts w:ascii="Arial" w:hAnsi="Arial" w:cs="Arial"/>
                <w:sz w:val="18"/>
                <w:szCs w:val="18"/>
              </w:rPr>
              <w:t>ZTP, ZTP/P</w:t>
            </w:r>
          </w:p>
        </w:tc>
        <w:tc>
          <w:tcPr>
            <w:tcW w:w="1590"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r w:rsidR="003E6205" w:rsidRPr="00820ECA">
              <w:rPr>
                <w:rFonts w:ascii="Arial" w:hAnsi="Arial" w:cs="Arial"/>
                <w:sz w:val="18"/>
                <w:szCs w:val="18"/>
              </w:rPr>
              <w:t>*</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r w:rsidR="003E6205" w:rsidRPr="00820ECA">
              <w:rPr>
                <w:rFonts w:ascii="Arial" w:hAnsi="Arial" w:cs="Arial"/>
                <w:sz w:val="18"/>
                <w:szCs w:val="18"/>
              </w:rPr>
              <w:t>*</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75 %</w:t>
            </w:r>
            <w:r w:rsidR="003E6205" w:rsidRPr="00820ECA">
              <w:rPr>
                <w:rFonts w:ascii="Arial" w:hAnsi="Arial" w:cs="Arial"/>
                <w:sz w:val="18"/>
                <w:szCs w:val="18"/>
              </w:rPr>
              <w:t>*</w:t>
            </w:r>
          </w:p>
        </w:tc>
        <w:tc>
          <w:tcPr>
            <w:tcW w:w="1591" w:type="dxa"/>
          </w:tcPr>
          <w:p w:rsidR="00DC758E" w:rsidRPr="00820ECA" w:rsidRDefault="003E6205" w:rsidP="00306691">
            <w:pPr>
              <w:spacing w:after="120"/>
              <w:jc w:val="center"/>
              <w:rPr>
                <w:rFonts w:ascii="Arial" w:hAnsi="Arial" w:cs="Arial"/>
                <w:sz w:val="18"/>
                <w:szCs w:val="18"/>
              </w:rPr>
            </w:pPr>
            <w:r w:rsidRPr="00820ECA">
              <w:rPr>
                <w:rFonts w:ascii="Arial" w:hAnsi="Arial" w:cs="Arial"/>
                <w:sz w:val="18"/>
                <w:szCs w:val="18"/>
              </w:rPr>
              <w:t>b</w:t>
            </w:r>
            <w:r w:rsidR="00DC758E" w:rsidRPr="00820ECA">
              <w:rPr>
                <w:rFonts w:ascii="Arial" w:hAnsi="Arial" w:cs="Arial"/>
                <w:sz w:val="18"/>
                <w:szCs w:val="18"/>
              </w:rPr>
              <w:t>ezplatně</w:t>
            </w:r>
            <w:r w:rsidRPr="00820ECA">
              <w:rPr>
                <w:rFonts w:ascii="Arial" w:hAnsi="Arial" w:cs="Arial"/>
                <w:sz w:val="18"/>
                <w:szCs w:val="18"/>
              </w:rPr>
              <w:t>*</w:t>
            </w:r>
          </w:p>
        </w:tc>
      </w:tr>
      <w:tr w:rsidR="003E6205" w:rsidRPr="00820ECA" w:rsidTr="00820ECA">
        <w:tc>
          <w:tcPr>
            <w:tcW w:w="2127" w:type="dxa"/>
          </w:tcPr>
          <w:p w:rsidR="003E6205" w:rsidRPr="00820ECA" w:rsidRDefault="003E6205" w:rsidP="00306691">
            <w:pPr>
              <w:spacing w:after="120"/>
              <w:rPr>
                <w:rFonts w:ascii="Arial" w:hAnsi="Arial" w:cs="Arial"/>
                <w:sz w:val="18"/>
                <w:szCs w:val="18"/>
              </w:rPr>
            </w:pPr>
            <w:r w:rsidRPr="00820ECA">
              <w:rPr>
                <w:rFonts w:ascii="Arial" w:hAnsi="Arial" w:cs="Arial"/>
                <w:sz w:val="18"/>
                <w:szCs w:val="18"/>
              </w:rPr>
              <w:t>průvodce ZTP/P</w:t>
            </w:r>
          </w:p>
        </w:tc>
        <w:tc>
          <w:tcPr>
            <w:tcW w:w="1590" w:type="dxa"/>
          </w:tcPr>
          <w:p w:rsidR="003E6205" w:rsidRPr="00820ECA" w:rsidRDefault="003E6205" w:rsidP="00306691">
            <w:pPr>
              <w:spacing w:after="120"/>
              <w:jc w:val="center"/>
              <w:rPr>
                <w:rFonts w:ascii="Arial" w:hAnsi="Arial" w:cs="Arial"/>
                <w:sz w:val="18"/>
                <w:szCs w:val="18"/>
              </w:rPr>
            </w:pPr>
            <w:r w:rsidRPr="00820ECA">
              <w:rPr>
                <w:rFonts w:ascii="Arial" w:hAnsi="Arial" w:cs="Arial"/>
                <w:sz w:val="18"/>
                <w:szCs w:val="18"/>
              </w:rPr>
              <w:t>bezplatně*</w:t>
            </w:r>
          </w:p>
        </w:tc>
        <w:tc>
          <w:tcPr>
            <w:tcW w:w="1591" w:type="dxa"/>
          </w:tcPr>
          <w:p w:rsidR="003E6205" w:rsidRPr="00820ECA" w:rsidRDefault="003E6205" w:rsidP="00306691">
            <w:pPr>
              <w:spacing w:after="120"/>
              <w:jc w:val="center"/>
              <w:rPr>
                <w:rFonts w:ascii="Arial" w:hAnsi="Arial" w:cs="Arial"/>
                <w:sz w:val="18"/>
                <w:szCs w:val="18"/>
              </w:rPr>
            </w:pPr>
            <w:r w:rsidRPr="00820ECA">
              <w:rPr>
                <w:rFonts w:ascii="Arial" w:hAnsi="Arial" w:cs="Arial"/>
                <w:sz w:val="18"/>
                <w:szCs w:val="18"/>
              </w:rPr>
              <w:t>bezplatně*</w:t>
            </w:r>
          </w:p>
        </w:tc>
        <w:tc>
          <w:tcPr>
            <w:tcW w:w="1591" w:type="dxa"/>
          </w:tcPr>
          <w:p w:rsidR="003E6205" w:rsidRPr="00820ECA" w:rsidRDefault="003E6205" w:rsidP="00306691">
            <w:pPr>
              <w:spacing w:after="120"/>
              <w:jc w:val="center"/>
              <w:rPr>
                <w:rFonts w:ascii="Arial" w:hAnsi="Arial" w:cs="Arial"/>
                <w:sz w:val="18"/>
                <w:szCs w:val="18"/>
              </w:rPr>
            </w:pPr>
            <w:r w:rsidRPr="00820ECA">
              <w:rPr>
                <w:rFonts w:ascii="Arial" w:hAnsi="Arial" w:cs="Arial"/>
                <w:sz w:val="18"/>
                <w:szCs w:val="18"/>
              </w:rPr>
              <w:t>bezplatně*</w:t>
            </w:r>
          </w:p>
        </w:tc>
        <w:tc>
          <w:tcPr>
            <w:tcW w:w="1591" w:type="dxa"/>
          </w:tcPr>
          <w:p w:rsidR="003E6205" w:rsidRPr="00820ECA" w:rsidRDefault="003E6205" w:rsidP="00306691">
            <w:pPr>
              <w:spacing w:after="120"/>
              <w:jc w:val="center"/>
              <w:rPr>
                <w:rFonts w:ascii="Arial" w:hAnsi="Arial" w:cs="Arial"/>
                <w:sz w:val="18"/>
                <w:szCs w:val="18"/>
              </w:rPr>
            </w:pPr>
            <w:r w:rsidRPr="00820ECA">
              <w:rPr>
                <w:rFonts w:ascii="Arial" w:hAnsi="Arial" w:cs="Arial"/>
                <w:sz w:val="18"/>
                <w:szCs w:val="18"/>
              </w:rPr>
              <w:t>bezplatně*</w:t>
            </w:r>
          </w:p>
        </w:tc>
      </w:tr>
      <w:tr w:rsidR="00DC758E" w:rsidRPr="00820ECA" w:rsidTr="00820ECA">
        <w:tc>
          <w:tcPr>
            <w:tcW w:w="2127" w:type="dxa"/>
          </w:tcPr>
          <w:p w:rsidR="00DC758E" w:rsidRPr="00820ECA" w:rsidRDefault="00DC758E" w:rsidP="00306691">
            <w:pPr>
              <w:spacing w:after="120"/>
              <w:rPr>
                <w:rFonts w:ascii="Arial" w:hAnsi="Arial" w:cs="Arial"/>
                <w:sz w:val="18"/>
                <w:szCs w:val="18"/>
              </w:rPr>
            </w:pPr>
            <w:r w:rsidRPr="00820ECA">
              <w:rPr>
                <w:rFonts w:ascii="Arial" w:hAnsi="Arial" w:cs="Arial"/>
                <w:sz w:val="18"/>
                <w:szCs w:val="18"/>
              </w:rPr>
              <w:t>rodiče dětí v ústavech</w:t>
            </w:r>
          </w:p>
        </w:tc>
        <w:tc>
          <w:tcPr>
            <w:tcW w:w="1590"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50 %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50 %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50 %</w:t>
            </w:r>
          </w:p>
        </w:tc>
        <w:tc>
          <w:tcPr>
            <w:tcW w:w="1591" w:type="dxa"/>
          </w:tcPr>
          <w:p w:rsidR="00DC758E" w:rsidRPr="00820ECA" w:rsidRDefault="00DC758E" w:rsidP="00306691">
            <w:pPr>
              <w:spacing w:after="120"/>
              <w:jc w:val="center"/>
              <w:rPr>
                <w:rFonts w:ascii="Arial" w:hAnsi="Arial" w:cs="Arial"/>
                <w:sz w:val="18"/>
                <w:szCs w:val="18"/>
              </w:rPr>
            </w:pPr>
            <w:r w:rsidRPr="00820ECA">
              <w:rPr>
                <w:rFonts w:ascii="Arial" w:hAnsi="Arial" w:cs="Arial"/>
                <w:sz w:val="18"/>
                <w:szCs w:val="18"/>
              </w:rPr>
              <w:t>---</w:t>
            </w:r>
          </w:p>
        </w:tc>
      </w:tr>
    </w:tbl>
    <w:p w:rsidR="003E6205" w:rsidRPr="00820ECA" w:rsidRDefault="00820ECA" w:rsidP="00820ECA">
      <w:pPr>
        <w:spacing w:after="120" w:line="240" w:lineRule="auto"/>
        <w:ind w:left="567"/>
        <w:jc w:val="both"/>
        <w:rPr>
          <w:rFonts w:ascii="Arial" w:hAnsi="Arial" w:cs="Arial"/>
          <w:i/>
          <w:sz w:val="18"/>
          <w:szCs w:val="18"/>
        </w:rPr>
      </w:pPr>
      <w:r>
        <w:rPr>
          <w:rFonts w:ascii="Arial" w:hAnsi="Arial" w:cs="Arial"/>
          <w:i/>
          <w:sz w:val="18"/>
          <w:szCs w:val="18"/>
        </w:rPr>
        <w:t>* N</w:t>
      </w:r>
      <w:r w:rsidR="003E6205" w:rsidRPr="00820ECA">
        <w:rPr>
          <w:rFonts w:ascii="Arial" w:hAnsi="Arial" w:cs="Arial"/>
          <w:i/>
          <w:sz w:val="18"/>
          <w:szCs w:val="18"/>
        </w:rPr>
        <w:t>árok vyplývá za zákona o poskytování dávek osobám se zdravotním postižením</w:t>
      </w:r>
      <w:r>
        <w:rPr>
          <w:rFonts w:ascii="Arial" w:hAnsi="Arial" w:cs="Arial"/>
          <w:i/>
          <w:sz w:val="18"/>
          <w:szCs w:val="18"/>
        </w:rPr>
        <w:t>.</w:t>
      </w:r>
    </w:p>
    <w:p w:rsidR="00326A69" w:rsidRDefault="00326A69" w:rsidP="00306691">
      <w:pPr>
        <w:pStyle w:val="Odstavecseseznamem"/>
        <w:numPr>
          <w:ilvl w:val="0"/>
          <w:numId w:val="10"/>
        </w:numPr>
        <w:spacing w:after="120" w:line="240" w:lineRule="auto"/>
        <w:ind w:left="567" w:hanging="567"/>
        <w:contextualSpacing w:val="0"/>
        <w:jc w:val="both"/>
        <w:rPr>
          <w:rFonts w:ascii="Arial" w:hAnsi="Arial" w:cs="Arial"/>
        </w:rPr>
      </w:pPr>
      <w:r w:rsidRPr="00820ECA">
        <w:rPr>
          <w:rFonts w:ascii="Arial" w:hAnsi="Arial" w:cs="Arial"/>
        </w:rPr>
        <w:t>V autobusové dopravě byl do roku 2017 zaznamenáván postupný pokles počtů cestujících, v letech 2018 a 2019 naopak došlo ke zvýšení zájmu o p</w:t>
      </w:r>
      <w:r w:rsidR="000067BF" w:rsidRPr="00820ECA">
        <w:rPr>
          <w:rFonts w:ascii="Arial" w:hAnsi="Arial" w:cs="Arial"/>
        </w:rPr>
        <w:t>řepravu, meziročně vždy o cca 5 </w:t>
      </w:r>
      <w:r w:rsidRPr="00820ECA">
        <w:rPr>
          <w:rFonts w:ascii="Arial" w:hAnsi="Arial" w:cs="Arial"/>
        </w:rPr>
        <w:t xml:space="preserve">% počtu cestujících. V železniční dopravě </w:t>
      </w:r>
      <w:r w:rsidR="00FB5B63" w:rsidRPr="00820ECA">
        <w:rPr>
          <w:rFonts w:ascii="Arial" w:hAnsi="Arial" w:cs="Arial"/>
        </w:rPr>
        <w:t xml:space="preserve">se </w:t>
      </w:r>
      <w:r w:rsidRPr="00820ECA">
        <w:rPr>
          <w:rFonts w:ascii="Arial" w:hAnsi="Arial" w:cs="Arial"/>
        </w:rPr>
        <w:t>pak</w:t>
      </w:r>
      <w:r w:rsidR="000067BF" w:rsidRPr="00820ECA">
        <w:rPr>
          <w:rFonts w:ascii="Arial" w:hAnsi="Arial" w:cs="Arial"/>
        </w:rPr>
        <w:t xml:space="preserve"> </w:t>
      </w:r>
      <w:r w:rsidRPr="00820ECA">
        <w:rPr>
          <w:rFonts w:ascii="Arial" w:hAnsi="Arial" w:cs="Arial"/>
        </w:rPr>
        <w:t>v letech 2018 a 2019 markantněji prokázal dlouhodobý trend navyšování počtu cestujících. Poslední hodnoty jsou k dispozici za rok 2020, s ohledem na pandemii onemocnění COVID však došlo k dramatickému propadu zájmu</w:t>
      </w:r>
      <w:r w:rsidR="000067BF" w:rsidRPr="00820ECA">
        <w:rPr>
          <w:rFonts w:ascii="Arial" w:hAnsi="Arial" w:cs="Arial"/>
        </w:rPr>
        <w:t xml:space="preserve"> o cestování veřejnou dopravou</w:t>
      </w:r>
      <w:r w:rsidR="00820ECA">
        <w:rPr>
          <w:rFonts w:ascii="Arial" w:hAnsi="Arial" w:cs="Arial"/>
        </w:rPr>
        <w:t>, které ukazuje tab. 2</w:t>
      </w:r>
      <w:r w:rsidR="000067BF" w:rsidRPr="00820ECA">
        <w:rPr>
          <w:rFonts w:ascii="Arial" w:hAnsi="Arial" w:cs="Arial"/>
        </w:rPr>
        <w:t>.</w:t>
      </w:r>
    </w:p>
    <w:p w:rsidR="00820ECA" w:rsidRPr="00820ECA" w:rsidRDefault="00820ECA" w:rsidP="00820ECA">
      <w:pPr>
        <w:pStyle w:val="Odstavecseseznamem"/>
        <w:numPr>
          <w:ilvl w:val="0"/>
          <w:numId w:val="10"/>
        </w:numPr>
        <w:spacing w:after="120" w:line="240" w:lineRule="auto"/>
        <w:ind w:left="567" w:hanging="567"/>
        <w:contextualSpacing w:val="0"/>
        <w:jc w:val="both"/>
        <w:rPr>
          <w:rFonts w:ascii="Arial" w:hAnsi="Arial" w:cs="Arial"/>
        </w:rPr>
      </w:pPr>
      <w:r w:rsidRPr="00820ECA">
        <w:rPr>
          <w:rFonts w:ascii="Arial" w:hAnsi="Arial" w:cs="Arial"/>
        </w:rPr>
        <w:t>Zároveň však má stávající portfolio slev zásadní fiskální dopady. Ze státního rozpočtu jsou na kompenzaci slev vynakládány významné finanční prostředky, které např. v roce 2019 před vypuknutím pandemie COVID-19 představovaly celkem 5 828,748 mil. Kč. V roce 2020 se rozsah kompenzací vlivem pandemie snížil, ovšem po odeznění pandemie lze očekávat, že výše kompenzací může v případě zachování stávajícího režimu slev dosáhnout opětovně hodnot, které byly zaznamenány v roce 2019.</w:t>
      </w:r>
    </w:p>
    <w:p w:rsidR="00820ECA" w:rsidRDefault="00820ECA" w:rsidP="00820ECA">
      <w:pPr>
        <w:spacing w:after="120" w:line="240" w:lineRule="auto"/>
        <w:ind w:left="567"/>
        <w:jc w:val="both"/>
        <w:rPr>
          <w:rFonts w:ascii="Arial" w:hAnsi="Arial" w:cs="Arial"/>
          <w:b/>
          <w:color w:val="002060"/>
          <w:sz w:val="18"/>
          <w:szCs w:val="18"/>
        </w:rPr>
      </w:pPr>
    </w:p>
    <w:p w:rsidR="00D905A8" w:rsidRDefault="00D905A8" w:rsidP="00820ECA">
      <w:pPr>
        <w:spacing w:after="120" w:line="240" w:lineRule="auto"/>
        <w:ind w:left="567"/>
        <w:jc w:val="both"/>
        <w:rPr>
          <w:rFonts w:ascii="Arial" w:hAnsi="Arial" w:cs="Arial"/>
          <w:b/>
          <w:color w:val="002060"/>
          <w:sz w:val="18"/>
          <w:szCs w:val="18"/>
        </w:rPr>
      </w:pPr>
    </w:p>
    <w:p w:rsidR="00D905A8" w:rsidRDefault="00D905A8" w:rsidP="00820ECA">
      <w:pPr>
        <w:spacing w:after="120" w:line="240" w:lineRule="auto"/>
        <w:ind w:left="567"/>
        <w:jc w:val="both"/>
        <w:rPr>
          <w:rFonts w:ascii="Arial" w:hAnsi="Arial" w:cs="Arial"/>
          <w:b/>
          <w:color w:val="002060"/>
          <w:sz w:val="18"/>
          <w:szCs w:val="18"/>
        </w:rPr>
      </w:pPr>
    </w:p>
    <w:p w:rsidR="000067BF" w:rsidRPr="00820ECA" w:rsidRDefault="000067BF" w:rsidP="00820ECA">
      <w:pPr>
        <w:spacing w:after="120" w:line="240" w:lineRule="auto"/>
        <w:ind w:left="567"/>
        <w:jc w:val="both"/>
        <w:rPr>
          <w:rFonts w:ascii="Arial" w:hAnsi="Arial" w:cs="Arial"/>
          <w:color w:val="002060"/>
          <w:sz w:val="18"/>
          <w:szCs w:val="18"/>
        </w:rPr>
      </w:pPr>
      <w:r w:rsidRPr="00820ECA">
        <w:rPr>
          <w:rFonts w:ascii="Arial" w:hAnsi="Arial" w:cs="Arial"/>
          <w:b/>
          <w:color w:val="002060"/>
          <w:sz w:val="18"/>
          <w:szCs w:val="18"/>
        </w:rPr>
        <w:t>Tab. 2: Přehled mezioborového srovnání přepravních výkonů</w:t>
      </w:r>
    </w:p>
    <w:tbl>
      <w:tblPr>
        <w:tblW w:w="856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8"/>
        <w:gridCol w:w="1048"/>
        <w:gridCol w:w="1048"/>
        <w:gridCol w:w="1049"/>
        <w:gridCol w:w="1048"/>
        <w:gridCol w:w="1048"/>
        <w:gridCol w:w="1049"/>
      </w:tblGrid>
      <w:tr w:rsidR="000067BF" w:rsidRPr="00820ECA" w:rsidTr="00820ECA">
        <w:trPr>
          <w:trHeight w:val="207"/>
        </w:trPr>
        <w:tc>
          <w:tcPr>
            <w:tcW w:w="2278" w:type="dxa"/>
            <w:tcBorders>
              <w:top w:val="single" w:sz="12" w:space="0" w:color="auto"/>
              <w:left w:val="single" w:sz="12" w:space="0" w:color="auto"/>
              <w:bottom w:val="single" w:sz="12" w:space="0" w:color="auto"/>
            </w:tcBorders>
            <w:shd w:val="clear" w:color="auto" w:fill="FFF2CC" w:themeFill="accent4" w:themeFillTint="33"/>
          </w:tcPr>
          <w:p w:rsidR="000067BF" w:rsidRPr="00820ECA" w:rsidRDefault="000067BF" w:rsidP="00306691">
            <w:pPr>
              <w:spacing w:after="120" w:line="240" w:lineRule="auto"/>
              <w:rPr>
                <w:rFonts w:ascii="Arial" w:hAnsi="Arial" w:cs="Arial"/>
                <w:sz w:val="18"/>
                <w:szCs w:val="18"/>
              </w:rPr>
            </w:pPr>
            <w:r w:rsidRPr="00820ECA">
              <w:rPr>
                <w:rFonts w:ascii="Arial" w:hAnsi="Arial" w:cs="Arial"/>
                <w:sz w:val="18"/>
                <w:szCs w:val="18"/>
              </w:rPr>
              <w:t xml:space="preserve">Přepravní výkony ve veřejné dopravě (bez započtení MHD) </w:t>
            </w:r>
          </w:p>
        </w:tc>
        <w:tc>
          <w:tcPr>
            <w:tcW w:w="1048" w:type="dxa"/>
            <w:tcBorders>
              <w:top w:val="single" w:sz="12" w:space="0" w:color="auto"/>
              <w:bottom w:val="single" w:sz="12" w:space="0" w:color="auto"/>
            </w:tcBorders>
            <w:shd w:val="clear" w:color="auto" w:fill="FFF2CC" w:themeFill="accent4" w:themeFillTint="33"/>
            <w:noWrap/>
            <w:vAlign w:val="bottom"/>
            <w:hideMark/>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2015</w:t>
            </w:r>
          </w:p>
        </w:tc>
        <w:tc>
          <w:tcPr>
            <w:tcW w:w="1048" w:type="dxa"/>
            <w:tcBorders>
              <w:top w:val="single" w:sz="12" w:space="0" w:color="auto"/>
              <w:bottom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2016</w:t>
            </w:r>
          </w:p>
        </w:tc>
        <w:tc>
          <w:tcPr>
            <w:tcW w:w="1049" w:type="dxa"/>
            <w:tcBorders>
              <w:top w:val="single" w:sz="12" w:space="0" w:color="auto"/>
              <w:bottom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2017</w:t>
            </w:r>
          </w:p>
        </w:tc>
        <w:tc>
          <w:tcPr>
            <w:tcW w:w="1048" w:type="dxa"/>
            <w:tcBorders>
              <w:top w:val="single" w:sz="12" w:space="0" w:color="auto"/>
              <w:bottom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2018</w:t>
            </w:r>
          </w:p>
        </w:tc>
        <w:tc>
          <w:tcPr>
            <w:tcW w:w="1048" w:type="dxa"/>
            <w:tcBorders>
              <w:top w:val="single" w:sz="12" w:space="0" w:color="auto"/>
              <w:bottom w:val="single" w:sz="12" w:space="0" w:color="auto"/>
            </w:tcBorders>
            <w:shd w:val="clear" w:color="auto" w:fill="FFF2CC" w:themeFill="accent4" w:themeFillTint="33"/>
            <w:noWrap/>
            <w:vAlign w:val="bottom"/>
            <w:hideMark/>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2019</w:t>
            </w:r>
          </w:p>
        </w:tc>
        <w:tc>
          <w:tcPr>
            <w:tcW w:w="1049" w:type="dxa"/>
            <w:tcBorders>
              <w:top w:val="single" w:sz="12" w:space="0" w:color="auto"/>
              <w:bottom w:val="single" w:sz="12" w:space="0" w:color="auto"/>
              <w:right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2020</w:t>
            </w:r>
          </w:p>
        </w:tc>
      </w:tr>
      <w:tr w:rsidR="000067BF" w:rsidRPr="00820ECA" w:rsidTr="00820ECA">
        <w:trPr>
          <w:trHeight w:val="207"/>
        </w:trPr>
        <w:tc>
          <w:tcPr>
            <w:tcW w:w="2278" w:type="dxa"/>
            <w:tcBorders>
              <w:top w:val="single" w:sz="12" w:space="0" w:color="auto"/>
            </w:tcBorders>
            <w:shd w:val="clear" w:color="auto" w:fill="FFF2CC" w:themeFill="accent4" w:themeFillTint="33"/>
          </w:tcPr>
          <w:p w:rsidR="000067BF" w:rsidRPr="00820ECA" w:rsidRDefault="000067BF" w:rsidP="00306691">
            <w:pPr>
              <w:spacing w:after="120" w:line="240" w:lineRule="auto"/>
              <w:rPr>
                <w:rFonts w:ascii="Arial" w:hAnsi="Arial" w:cs="Arial"/>
                <w:sz w:val="18"/>
                <w:szCs w:val="18"/>
              </w:rPr>
            </w:pPr>
            <w:r w:rsidRPr="00820ECA">
              <w:rPr>
                <w:rFonts w:ascii="Arial" w:hAnsi="Arial" w:cs="Arial"/>
                <w:sz w:val="18"/>
                <w:szCs w:val="18"/>
              </w:rPr>
              <w:t>Celkem v mil. osob</w:t>
            </w:r>
          </w:p>
        </w:tc>
        <w:tc>
          <w:tcPr>
            <w:tcW w:w="1048" w:type="dxa"/>
            <w:tcBorders>
              <w:top w:val="single" w:sz="12" w:space="0" w:color="auto"/>
            </w:tcBorders>
            <w:shd w:val="clear" w:color="auto" w:fill="FFF2CC" w:themeFill="accent4" w:themeFillTint="33"/>
            <w:noWrap/>
            <w:vAlign w:val="bottom"/>
            <w:hideMark/>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527,5</w:t>
            </w:r>
          </w:p>
        </w:tc>
        <w:tc>
          <w:tcPr>
            <w:tcW w:w="1048" w:type="dxa"/>
            <w:tcBorders>
              <w:top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512,0</w:t>
            </w:r>
          </w:p>
        </w:tc>
        <w:tc>
          <w:tcPr>
            <w:tcW w:w="1049" w:type="dxa"/>
            <w:tcBorders>
              <w:top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512,7</w:t>
            </w:r>
          </w:p>
        </w:tc>
        <w:tc>
          <w:tcPr>
            <w:tcW w:w="1048" w:type="dxa"/>
            <w:tcBorders>
              <w:top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529,7</w:t>
            </w:r>
          </w:p>
        </w:tc>
        <w:tc>
          <w:tcPr>
            <w:tcW w:w="1048" w:type="dxa"/>
            <w:tcBorders>
              <w:top w:val="single" w:sz="12" w:space="0" w:color="auto"/>
            </w:tcBorders>
            <w:shd w:val="clear" w:color="auto" w:fill="FFF2CC" w:themeFill="accent4" w:themeFillTint="33"/>
            <w:noWrap/>
            <w:vAlign w:val="bottom"/>
            <w:hideMark/>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538,5</w:t>
            </w:r>
          </w:p>
        </w:tc>
        <w:tc>
          <w:tcPr>
            <w:tcW w:w="1049" w:type="dxa"/>
            <w:tcBorders>
              <w:top w:val="single" w:sz="12" w:space="0" w:color="auto"/>
            </w:tcBorders>
            <w:shd w:val="clear" w:color="auto" w:fill="FFF2CC" w:themeFill="accent4" w:themeFillTint="33"/>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363,2</w:t>
            </w:r>
          </w:p>
        </w:tc>
      </w:tr>
      <w:tr w:rsidR="000067BF" w:rsidRPr="00820ECA" w:rsidTr="00820ECA">
        <w:trPr>
          <w:trHeight w:val="207"/>
        </w:trPr>
        <w:tc>
          <w:tcPr>
            <w:tcW w:w="2278" w:type="dxa"/>
            <w:vAlign w:val="bottom"/>
          </w:tcPr>
          <w:p w:rsidR="000067BF" w:rsidRPr="00820ECA" w:rsidRDefault="000067BF" w:rsidP="00306691">
            <w:pPr>
              <w:spacing w:after="120" w:line="240" w:lineRule="auto"/>
              <w:rPr>
                <w:rFonts w:ascii="Arial" w:hAnsi="Arial" w:cs="Arial"/>
                <w:sz w:val="18"/>
                <w:szCs w:val="18"/>
              </w:rPr>
            </w:pPr>
            <w:r w:rsidRPr="00820ECA">
              <w:rPr>
                <w:rFonts w:ascii="Arial" w:hAnsi="Arial" w:cs="Arial"/>
                <w:sz w:val="18"/>
                <w:szCs w:val="18"/>
              </w:rPr>
              <w:t>z toho železniční doprava</w:t>
            </w:r>
          </w:p>
        </w:tc>
        <w:tc>
          <w:tcPr>
            <w:tcW w:w="1048" w:type="dxa"/>
            <w:shd w:val="clear" w:color="auto" w:fill="auto"/>
            <w:noWrap/>
            <w:vAlign w:val="bottom"/>
            <w:hideMark/>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176,6</w:t>
            </w:r>
          </w:p>
        </w:tc>
        <w:tc>
          <w:tcPr>
            <w:tcW w:w="1048"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179,2</w:t>
            </w:r>
          </w:p>
        </w:tc>
        <w:tc>
          <w:tcPr>
            <w:tcW w:w="1049"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183,0</w:t>
            </w:r>
          </w:p>
        </w:tc>
        <w:tc>
          <w:tcPr>
            <w:tcW w:w="1048"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189,5</w:t>
            </w:r>
          </w:p>
        </w:tc>
        <w:tc>
          <w:tcPr>
            <w:tcW w:w="1048" w:type="dxa"/>
            <w:shd w:val="clear" w:color="auto" w:fill="auto"/>
            <w:noWrap/>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193,8</w:t>
            </w:r>
          </w:p>
        </w:tc>
        <w:tc>
          <w:tcPr>
            <w:tcW w:w="1049"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129,5</w:t>
            </w:r>
          </w:p>
        </w:tc>
      </w:tr>
      <w:tr w:rsidR="000067BF" w:rsidRPr="00820ECA" w:rsidTr="00820ECA">
        <w:trPr>
          <w:trHeight w:val="207"/>
        </w:trPr>
        <w:tc>
          <w:tcPr>
            <w:tcW w:w="2278" w:type="dxa"/>
            <w:vAlign w:val="bottom"/>
          </w:tcPr>
          <w:p w:rsidR="000067BF" w:rsidRPr="00820ECA" w:rsidRDefault="000067BF" w:rsidP="00306691">
            <w:pPr>
              <w:spacing w:after="120" w:line="240" w:lineRule="auto"/>
              <w:rPr>
                <w:rFonts w:ascii="Arial" w:hAnsi="Arial" w:cs="Arial"/>
                <w:sz w:val="18"/>
                <w:szCs w:val="18"/>
              </w:rPr>
            </w:pPr>
            <w:r w:rsidRPr="00820ECA">
              <w:rPr>
                <w:rFonts w:ascii="Arial" w:hAnsi="Arial" w:cs="Arial"/>
                <w:sz w:val="18"/>
                <w:szCs w:val="18"/>
              </w:rPr>
              <w:t>z toho autobusová doprava</w:t>
            </w:r>
          </w:p>
        </w:tc>
        <w:tc>
          <w:tcPr>
            <w:tcW w:w="1048" w:type="dxa"/>
            <w:shd w:val="clear" w:color="auto" w:fill="auto"/>
            <w:noWrap/>
            <w:vAlign w:val="bottom"/>
            <w:hideMark/>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350,9</w:t>
            </w:r>
          </w:p>
        </w:tc>
        <w:tc>
          <w:tcPr>
            <w:tcW w:w="1048"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332,8</w:t>
            </w:r>
          </w:p>
        </w:tc>
        <w:tc>
          <w:tcPr>
            <w:tcW w:w="1049"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329,7</w:t>
            </w:r>
          </w:p>
        </w:tc>
        <w:tc>
          <w:tcPr>
            <w:tcW w:w="1048"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340,2</w:t>
            </w:r>
          </w:p>
        </w:tc>
        <w:tc>
          <w:tcPr>
            <w:tcW w:w="1048"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354,7</w:t>
            </w:r>
          </w:p>
        </w:tc>
        <w:tc>
          <w:tcPr>
            <w:tcW w:w="1049" w:type="dxa"/>
            <w:vAlign w:val="bottom"/>
          </w:tcPr>
          <w:p w:rsidR="000067BF" w:rsidRPr="00820ECA" w:rsidRDefault="000067BF" w:rsidP="00306691">
            <w:pPr>
              <w:spacing w:after="120" w:line="240" w:lineRule="auto"/>
              <w:jc w:val="center"/>
              <w:rPr>
                <w:rFonts w:ascii="Arial" w:hAnsi="Arial" w:cs="Arial"/>
                <w:sz w:val="18"/>
                <w:szCs w:val="18"/>
              </w:rPr>
            </w:pPr>
            <w:r w:rsidRPr="00820ECA">
              <w:rPr>
                <w:rFonts w:ascii="Arial" w:hAnsi="Arial" w:cs="Arial"/>
                <w:sz w:val="18"/>
                <w:szCs w:val="18"/>
              </w:rPr>
              <w:t>233,7</w:t>
            </w:r>
          </w:p>
        </w:tc>
      </w:tr>
    </w:tbl>
    <w:p w:rsidR="00326A69" w:rsidRPr="00820ECA" w:rsidRDefault="000067BF" w:rsidP="00820ECA">
      <w:pPr>
        <w:spacing w:after="120" w:line="240" w:lineRule="auto"/>
        <w:ind w:left="567"/>
        <w:jc w:val="both"/>
        <w:rPr>
          <w:rFonts w:ascii="Arial" w:hAnsi="Arial" w:cs="Arial"/>
          <w:i/>
          <w:sz w:val="18"/>
          <w:szCs w:val="18"/>
        </w:rPr>
      </w:pPr>
      <w:r w:rsidRPr="00820ECA">
        <w:rPr>
          <w:rFonts w:ascii="Arial" w:hAnsi="Arial" w:cs="Arial"/>
          <w:i/>
          <w:sz w:val="18"/>
          <w:szCs w:val="18"/>
        </w:rPr>
        <w:t>Zdroj: Ročenka dopravy 2020</w:t>
      </w:r>
    </w:p>
    <w:p w:rsidR="009E04C6" w:rsidRPr="00820ECA" w:rsidRDefault="009E04C6" w:rsidP="00306691">
      <w:pPr>
        <w:spacing w:after="120" w:line="240" w:lineRule="auto"/>
        <w:jc w:val="both"/>
        <w:rPr>
          <w:rFonts w:ascii="Arial" w:hAnsi="Arial" w:cs="Arial"/>
          <w:b/>
          <w:noProof/>
          <w:color w:val="002060"/>
          <w:lang w:eastAsia="cs-CZ"/>
        </w:rPr>
      </w:pPr>
    </w:p>
    <w:p w:rsidR="009E04C6" w:rsidRPr="00820ECA" w:rsidRDefault="003445EC" w:rsidP="00306691">
      <w:pPr>
        <w:tabs>
          <w:tab w:val="left" w:pos="567"/>
        </w:tabs>
        <w:spacing w:after="120" w:line="240" w:lineRule="auto"/>
        <w:jc w:val="both"/>
        <w:rPr>
          <w:rFonts w:ascii="Arial" w:hAnsi="Arial" w:cs="Arial"/>
          <w:b/>
          <w:noProof/>
          <w:color w:val="002060"/>
          <w:lang w:eastAsia="cs-CZ"/>
        </w:rPr>
      </w:pPr>
      <w:r w:rsidRPr="00820ECA">
        <w:rPr>
          <w:rFonts w:ascii="Arial" w:hAnsi="Arial" w:cs="Arial"/>
          <w:b/>
          <w:noProof/>
          <w:color w:val="002060"/>
          <w:lang w:eastAsia="cs-CZ"/>
        </w:rPr>
        <w:t>2.</w:t>
      </w:r>
      <w:r w:rsidRPr="00820ECA">
        <w:rPr>
          <w:rFonts w:ascii="Arial" w:hAnsi="Arial" w:cs="Arial"/>
          <w:b/>
          <w:noProof/>
          <w:color w:val="002060"/>
          <w:lang w:eastAsia="cs-CZ"/>
        </w:rPr>
        <w:tab/>
      </w:r>
      <w:r w:rsidR="009E04C6" w:rsidRPr="00820ECA">
        <w:rPr>
          <w:rFonts w:ascii="Arial" w:hAnsi="Arial" w:cs="Arial"/>
          <w:b/>
          <w:noProof/>
          <w:color w:val="002060"/>
          <w:lang w:eastAsia="cs-CZ"/>
        </w:rPr>
        <w:t>Návrhy dalšího postupu</w:t>
      </w:r>
    </w:p>
    <w:p w:rsidR="00106B3E" w:rsidRPr="00820ECA" w:rsidRDefault="003445EC" w:rsidP="00306691">
      <w:pPr>
        <w:tabs>
          <w:tab w:val="left" w:pos="567"/>
        </w:tabs>
        <w:spacing w:after="120" w:line="240" w:lineRule="auto"/>
        <w:jc w:val="both"/>
        <w:rPr>
          <w:rFonts w:ascii="Arial" w:hAnsi="Arial" w:cs="Arial"/>
        </w:rPr>
      </w:pPr>
      <w:r w:rsidRPr="00820ECA">
        <w:rPr>
          <w:rFonts w:ascii="Arial" w:hAnsi="Arial" w:cs="Arial"/>
          <w:b/>
          <w:noProof/>
          <w:color w:val="002060"/>
          <w:lang w:eastAsia="cs-CZ"/>
        </w:rPr>
        <w:t>2.1</w:t>
      </w:r>
      <w:r w:rsidRPr="00820ECA">
        <w:rPr>
          <w:rFonts w:ascii="Arial" w:hAnsi="Arial" w:cs="Arial"/>
          <w:b/>
          <w:noProof/>
          <w:color w:val="002060"/>
          <w:lang w:eastAsia="cs-CZ"/>
        </w:rPr>
        <w:tab/>
      </w:r>
      <w:r w:rsidR="00106B3E" w:rsidRPr="00820ECA">
        <w:rPr>
          <w:rFonts w:ascii="Arial" w:hAnsi="Arial" w:cs="Arial"/>
          <w:b/>
          <w:noProof/>
          <w:color w:val="002060"/>
          <w:lang w:eastAsia="cs-CZ"/>
        </w:rPr>
        <w:t>Metodika výpočtů</w:t>
      </w:r>
    </w:p>
    <w:p w:rsidR="00106B3E" w:rsidRPr="00820ECA" w:rsidRDefault="0046278B" w:rsidP="00306691">
      <w:pPr>
        <w:pStyle w:val="Odstavecseseznamem"/>
        <w:numPr>
          <w:ilvl w:val="0"/>
          <w:numId w:val="10"/>
        </w:numPr>
        <w:spacing w:after="120" w:line="240" w:lineRule="auto"/>
        <w:ind w:left="567" w:hanging="567"/>
        <w:contextualSpacing w:val="0"/>
        <w:jc w:val="both"/>
        <w:rPr>
          <w:rFonts w:ascii="Arial" w:hAnsi="Arial" w:cs="Arial"/>
        </w:rPr>
      </w:pPr>
      <w:r w:rsidRPr="00820ECA">
        <w:rPr>
          <w:rFonts w:ascii="Arial" w:hAnsi="Arial" w:cs="Arial"/>
        </w:rPr>
        <w:t>Níže uvedené výpočty pracují se třemi různými zdroji dat o výši kompenzací slev jízdného:</w:t>
      </w:r>
    </w:p>
    <w:p w:rsidR="0046278B" w:rsidRPr="00D905A8" w:rsidRDefault="0046278B" w:rsidP="00245E76">
      <w:pPr>
        <w:pStyle w:val="Odstavecseseznamem"/>
        <w:numPr>
          <w:ilvl w:val="0"/>
          <w:numId w:val="18"/>
        </w:numPr>
        <w:spacing w:after="0" w:line="240" w:lineRule="auto"/>
        <w:ind w:left="992" w:hanging="425"/>
        <w:contextualSpacing w:val="0"/>
        <w:jc w:val="both"/>
        <w:rPr>
          <w:rFonts w:ascii="Arial" w:hAnsi="Arial" w:cs="Arial"/>
        </w:rPr>
      </w:pPr>
      <w:r w:rsidRPr="00820ECA">
        <w:rPr>
          <w:rFonts w:ascii="Arial" w:hAnsi="Arial" w:cs="Arial"/>
        </w:rPr>
        <w:t xml:space="preserve">data z ekonomického </w:t>
      </w:r>
      <w:r w:rsidRPr="00D905A8">
        <w:rPr>
          <w:rFonts w:ascii="Arial" w:hAnsi="Arial" w:cs="Arial"/>
        </w:rPr>
        <w:t xml:space="preserve">informačního systému </w:t>
      </w:r>
      <w:r w:rsidR="00120642" w:rsidRPr="00D905A8">
        <w:rPr>
          <w:rFonts w:ascii="Arial" w:hAnsi="Arial" w:cs="Arial"/>
        </w:rPr>
        <w:t xml:space="preserve">Ministerstva dopravy </w:t>
      </w:r>
      <w:r w:rsidRPr="00D905A8">
        <w:rPr>
          <w:rFonts w:ascii="Arial" w:hAnsi="Arial" w:cs="Arial"/>
        </w:rPr>
        <w:t>(IMIS), kde jsou zachyceny na jedné straně údaje o fakturách zaslaných Ministerstvu dopravy dopravci a na druhé straně údaje o uskutečněných úhradách ze státního rozpočtu,</w:t>
      </w:r>
    </w:p>
    <w:p w:rsidR="0046278B" w:rsidRPr="00D905A8" w:rsidRDefault="0046278B" w:rsidP="00245E76">
      <w:pPr>
        <w:pStyle w:val="Odstavecseseznamem"/>
        <w:numPr>
          <w:ilvl w:val="0"/>
          <w:numId w:val="18"/>
        </w:numPr>
        <w:spacing w:after="0" w:line="240" w:lineRule="auto"/>
        <w:ind w:left="992" w:hanging="425"/>
        <w:contextualSpacing w:val="0"/>
        <w:jc w:val="both"/>
        <w:rPr>
          <w:rFonts w:ascii="Arial" w:hAnsi="Arial" w:cs="Arial"/>
        </w:rPr>
      </w:pPr>
      <w:r w:rsidRPr="00D905A8">
        <w:rPr>
          <w:rFonts w:ascii="Arial" w:hAnsi="Arial" w:cs="Arial"/>
        </w:rPr>
        <w:t xml:space="preserve">data z Celostátního informačního systému o jízdních řádech (CIS JŘ), resp. jeho </w:t>
      </w:r>
      <w:r w:rsidRPr="00D905A8">
        <w:rPr>
          <w:rFonts w:ascii="Arial" w:hAnsi="Arial" w:cs="Arial"/>
          <w:i/>
        </w:rPr>
        <w:t>„nadstavbového modulu“,</w:t>
      </w:r>
      <w:r w:rsidRPr="00D905A8">
        <w:rPr>
          <w:rFonts w:ascii="Arial" w:hAnsi="Arial" w:cs="Arial"/>
        </w:rPr>
        <w:t xml:space="preserve"> který slouží ke zpracování záznamů o prodaných slevových jízdenkách, přičemž výstupy z tohoto IS jsou jedním ze základních podkladů pro fakturaci ze strany dopravců a</w:t>
      </w:r>
    </w:p>
    <w:p w:rsidR="0046278B" w:rsidRPr="00D905A8" w:rsidRDefault="0046278B" w:rsidP="00306691">
      <w:pPr>
        <w:pStyle w:val="Odstavecseseznamem"/>
        <w:numPr>
          <w:ilvl w:val="0"/>
          <w:numId w:val="18"/>
        </w:numPr>
        <w:spacing w:after="120" w:line="240" w:lineRule="auto"/>
        <w:ind w:left="993" w:hanging="426"/>
        <w:contextualSpacing w:val="0"/>
        <w:jc w:val="both"/>
        <w:rPr>
          <w:rFonts w:ascii="Arial" w:hAnsi="Arial" w:cs="Arial"/>
        </w:rPr>
      </w:pPr>
      <w:r w:rsidRPr="00D905A8">
        <w:rPr>
          <w:rFonts w:ascii="Arial" w:hAnsi="Arial" w:cs="Arial"/>
        </w:rPr>
        <w:t>data o clearingu tržeb z jízdného poskytovanými organizátory integrovaných dopravních systémů (</w:t>
      </w:r>
      <w:r w:rsidR="00120642" w:rsidRPr="00D905A8">
        <w:rPr>
          <w:rFonts w:ascii="Arial" w:hAnsi="Arial" w:cs="Arial"/>
        </w:rPr>
        <w:t xml:space="preserve">další </w:t>
      </w:r>
      <w:r w:rsidRPr="00D905A8">
        <w:rPr>
          <w:rFonts w:ascii="Arial" w:hAnsi="Arial" w:cs="Arial"/>
        </w:rPr>
        <w:t>z</w:t>
      </w:r>
      <w:r w:rsidR="00120642" w:rsidRPr="00D905A8">
        <w:rPr>
          <w:rFonts w:ascii="Arial" w:hAnsi="Arial" w:cs="Arial"/>
        </w:rPr>
        <w:t xml:space="preserve"> významných </w:t>
      </w:r>
      <w:r w:rsidRPr="00D905A8">
        <w:rPr>
          <w:rFonts w:ascii="Arial" w:hAnsi="Arial" w:cs="Arial"/>
        </w:rPr>
        <w:t>podkladů pro fakturaci).</w:t>
      </w:r>
    </w:p>
    <w:p w:rsidR="0046278B" w:rsidRDefault="00DD37AD" w:rsidP="00306691">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Uvedené zdroje dat je nutné ve výpočtech popisujících skutečnou výši poskytovaných (a</w:t>
      </w:r>
      <w:r w:rsidR="003E6205" w:rsidRPr="00D905A8">
        <w:rPr>
          <w:rFonts w:ascii="Arial" w:hAnsi="Arial" w:cs="Arial"/>
        </w:rPr>
        <w:t> </w:t>
      </w:r>
      <w:r w:rsidRPr="00D905A8">
        <w:rPr>
          <w:rFonts w:ascii="Arial" w:hAnsi="Arial" w:cs="Arial"/>
        </w:rPr>
        <w:t xml:space="preserve">kompenzovaných) slev vzájemně kombinovat, neboť </w:t>
      </w:r>
      <w:r w:rsidRPr="00820ECA">
        <w:rPr>
          <w:rFonts w:ascii="Arial" w:hAnsi="Arial" w:cs="Arial"/>
        </w:rPr>
        <w:t>žádný ze zdrojů neobsahuje kompletní informaci. Například lze uvést, že fakturované částky (standardně v měsíční periodicitě) nemají zaručenou vazbu na ztráty dopravců v konkrétním měsíci, protože někteří dopravci fakturují více měsíců současně, případně s  časovým prodlením. Úhrady kompenzací mají časový posun proti období, ve kterém ztráta skutečně vznikla, i období, kdy je fakturována</w:t>
      </w:r>
      <w:r w:rsidRPr="00820ECA">
        <w:rPr>
          <w:rStyle w:val="Znakapoznpodarou"/>
          <w:rFonts w:ascii="Arial" w:hAnsi="Arial" w:cs="Arial"/>
        </w:rPr>
        <w:footnoteReference w:id="9"/>
      </w:r>
      <w:r w:rsidRPr="00820ECA">
        <w:rPr>
          <w:rFonts w:ascii="Arial" w:hAnsi="Arial" w:cs="Arial"/>
        </w:rPr>
        <w:t>. Strukturu poskytovaných slev (ztráty v rámci jednotlivých slevových kategorií) je možné vyčíst pouze z dat generovaných CIS JŘ, nelze je přímo propojit ani s fakturací, ani s čerpáním státního rozpočtu. Současně nelze tuto strukturu vyčíst ani z většiny sestav poskytnutých organizátory IDS</w:t>
      </w:r>
      <w:r w:rsidRPr="00820ECA">
        <w:rPr>
          <w:rStyle w:val="Znakapoznpodarou"/>
          <w:rFonts w:ascii="Arial" w:hAnsi="Arial" w:cs="Arial"/>
        </w:rPr>
        <w:footnoteReference w:id="10"/>
      </w:r>
      <w:r w:rsidRPr="00820ECA">
        <w:rPr>
          <w:rFonts w:ascii="Arial" w:hAnsi="Arial" w:cs="Arial"/>
        </w:rPr>
        <w:t>.</w:t>
      </w:r>
    </w:p>
    <w:p w:rsidR="00820ECA" w:rsidRPr="00820ECA" w:rsidRDefault="00820ECA" w:rsidP="00820ECA">
      <w:pPr>
        <w:spacing w:after="120" w:line="240" w:lineRule="auto"/>
        <w:jc w:val="both"/>
        <w:rPr>
          <w:rFonts w:ascii="Arial" w:hAnsi="Arial" w:cs="Arial"/>
        </w:rPr>
      </w:pPr>
    </w:p>
    <w:p w:rsidR="00DD37AD" w:rsidRPr="00820ECA" w:rsidRDefault="003445EC" w:rsidP="00306691">
      <w:pPr>
        <w:tabs>
          <w:tab w:val="left" w:pos="567"/>
        </w:tabs>
        <w:spacing w:after="120" w:line="240" w:lineRule="auto"/>
        <w:jc w:val="both"/>
        <w:rPr>
          <w:rFonts w:ascii="Arial" w:hAnsi="Arial" w:cs="Arial"/>
        </w:rPr>
      </w:pPr>
      <w:r w:rsidRPr="00820ECA">
        <w:rPr>
          <w:rFonts w:ascii="Arial" w:hAnsi="Arial" w:cs="Arial"/>
          <w:b/>
          <w:color w:val="002060"/>
        </w:rPr>
        <w:t>2.2</w:t>
      </w:r>
      <w:r w:rsidRPr="00820ECA">
        <w:rPr>
          <w:rFonts w:ascii="Arial" w:hAnsi="Arial" w:cs="Arial"/>
          <w:b/>
          <w:color w:val="002060"/>
        </w:rPr>
        <w:tab/>
      </w:r>
      <w:r w:rsidR="00DD37AD" w:rsidRPr="00820ECA">
        <w:rPr>
          <w:rFonts w:ascii="Arial" w:hAnsi="Arial" w:cs="Arial"/>
          <w:b/>
          <w:color w:val="002060"/>
        </w:rPr>
        <w:t>Současné finanční nároky na kompenzaci slev</w:t>
      </w:r>
    </w:p>
    <w:p w:rsidR="00DD37AD" w:rsidRPr="00820ECA" w:rsidRDefault="00DD37AD" w:rsidP="00306691">
      <w:pPr>
        <w:pStyle w:val="Odstavecseseznamem"/>
        <w:numPr>
          <w:ilvl w:val="0"/>
          <w:numId w:val="10"/>
        </w:numPr>
        <w:spacing w:after="120" w:line="240" w:lineRule="auto"/>
        <w:ind w:left="567" w:hanging="567"/>
        <w:contextualSpacing w:val="0"/>
        <w:jc w:val="both"/>
        <w:rPr>
          <w:rFonts w:ascii="Arial" w:hAnsi="Arial" w:cs="Arial"/>
        </w:rPr>
      </w:pPr>
      <w:r w:rsidRPr="00820ECA">
        <w:rPr>
          <w:rFonts w:ascii="Arial" w:hAnsi="Arial" w:cs="Arial"/>
        </w:rPr>
        <w:t>Finanční nároky je vhodn</w:t>
      </w:r>
      <w:r w:rsidR="003172DF" w:rsidRPr="00820ECA">
        <w:rPr>
          <w:rFonts w:ascii="Arial" w:hAnsi="Arial" w:cs="Arial"/>
        </w:rPr>
        <w:t>é rozdělit do dvou samostatných oblastí. Pokud se týče „tradičních</w:t>
      </w:r>
      <w:r w:rsidR="003E6205" w:rsidRPr="00820ECA">
        <w:rPr>
          <w:rFonts w:ascii="Arial" w:hAnsi="Arial" w:cs="Arial"/>
        </w:rPr>
        <w:t>“ slev</w:t>
      </w:r>
      <w:r w:rsidR="003172DF" w:rsidRPr="00820ECA">
        <w:rPr>
          <w:rFonts w:ascii="Arial" w:hAnsi="Arial" w:cs="Arial"/>
        </w:rPr>
        <w:t xml:space="preserve">, jak již bylo uvedeno výše, Ministerstvo dopravy hradí pouze část týkající se služeb </w:t>
      </w:r>
      <w:r w:rsidR="003172DF" w:rsidRPr="00820ECA">
        <w:rPr>
          <w:rFonts w:ascii="Arial" w:hAnsi="Arial" w:cs="Arial"/>
          <w:i/>
        </w:rPr>
        <w:t>Open Access</w:t>
      </w:r>
      <w:r w:rsidR="003172DF" w:rsidRPr="00820ECA">
        <w:rPr>
          <w:rFonts w:ascii="Arial" w:hAnsi="Arial" w:cs="Arial"/>
        </w:rPr>
        <w:t xml:space="preserve"> (mimo smlouvy o veřejných službách), zatímco u nově zavedených slev z roku 2018 hradí veškeré dopady na dopravní služby v České republice. Výdaje ukazuje následující tabulka.</w:t>
      </w:r>
    </w:p>
    <w:p w:rsidR="003172DF" w:rsidRPr="00820ECA" w:rsidRDefault="003172DF" w:rsidP="006F57D7">
      <w:pPr>
        <w:spacing w:after="120" w:line="240" w:lineRule="auto"/>
        <w:ind w:left="567"/>
        <w:jc w:val="both"/>
        <w:rPr>
          <w:rFonts w:ascii="Arial" w:hAnsi="Arial" w:cs="Arial"/>
          <w:color w:val="002060"/>
          <w:sz w:val="18"/>
          <w:szCs w:val="18"/>
        </w:rPr>
      </w:pPr>
      <w:r w:rsidRPr="00820ECA">
        <w:rPr>
          <w:rFonts w:ascii="Arial" w:hAnsi="Arial" w:cs="Arial"/>
          <w:b/>
          <w:color w:val="002060"/>
          <w:sz w:val="18"/>
          <w:szCs w:val="18"/>
        </w:rPr>
        <w:t>Tab. 3: Finanční nároky na úhradu státem nařízených slev</w:t>
      </w:r>
    </w:p>
    <w:tbl>
      <w:tblPr>
        <w:tblW w:w="8482" w:type="dxa"/>
        <w:tblInd w:w="552" w:type="dxa"/>
        <w:tblLayout w:type="fixed"/>
        <w:tblCellMar>
          <w:left w:w="70" w:type="dxa"/>
          <w:right w:w="70" w:type="dxa"/>
        </w:tblCellMar>
        <w:tblLook w:val="04A0" w:firstRow="1" w:lastRow="0" w:firstColumn="1" w:lastColumn="0" w:noHBand="0" w:noVBand="1"/>
      </w:tblPr>
      <w:tblGrid>
        <w:gridCol w:w="1134"/>
        <w:gridCol w:w="1144"/>
        <w:gridCol w:w="700"/>
        <w:gridCol w:w="1133"/>
        <w:gridCol w:w="702"/>
        <w:gridCol w:w="1141"/>
        <w:gridCol w:w="693"/>
        <w:gridCol w:w="1150"/>
        <w:gridCol w:w="685"/>
      </w:tblGrid>
      <w:tr w:rsidR="003172DF" w:rsidRPr="00820ECA" w:rsidTr="006F57D7">
        <w:trPr>
          <w:trHeight w:val="300"/>
        </w:trPr>
        <w:tc>
          <w:tcPr>
            <w:tcW w:w="1134" w:type="dxa"/>
            <w:vMerge w:val="restart"/>
            <w:tcBorders>
              <w:top w:val="single" w:sz="12" w:space="0" w:color="auto"/>
              <w:left w:val="single" w:sz="12" w:space="0" w:color="auto"/>
              <w:bottom w:val="single" w:sz="4" w:space="0" w:color="000000"/>
              <w:right w:val="single" w:sz="4" w:space="0" w:color="auto"/>
            </w:tcBorders>
            <w:shd w:val="clear" w:color="auto" w:fill="FFF2CC" w:themeFill="accent4" w:themeFillTint="33"/>
            <w:vAlign w:val="center"/>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Kategorie slevy</w:t>
            </w:r>
          </w:p>
        </w:tc>
        <w:tc>
          <w:tcPr>
            <w:tcW w:w="1844" w:type="dxa"/>
            <w:gridSpan w:val="2"/>
            <w:tcBorders>
              <w:top w:val="single" w:sz="12" w:space="0" w:color="auto"/>
              <w:left w:val="nil"/>
              <w:bottom w:val="single" w:sz="4" w:space="0" w:color="auto"/>
              <w:right w:val="single" w:sz="4" w:space="0" w:color="auto"/>
            </w:tcBorders>
            <w:shd w:val="clear" w:color="auto" w:fill="FFF2CC" w:themeFill="accent4" w:themeFillTint="33"/>
            <w:noWrap/>
            <w:vAlign w:val="center"/>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2018</w:t>
            </w:r>
          </w:p>
        </w:tc>
        <w:tc>
          <w:tcPr>
            <w:tcW w:w="1835" w:type="dxa"/>
            <w:gridSpan w:val="2"/>
            <w:tcBorders>
              <w:top w:val="single" w:sz="12" w:space="0" w:color="auto"/>
              <w:left w:val="nil"/>
              <w:bottom w:val="single" w:sz="4" w:space="0" w:color="auto"/>
              <w:right w:val="single" w:sz="4" w:space="0" w:color="auto"/>
            </w:tcBorders>
            <w:shd w:val="clear" w:color="auto" w:fill="FFF2CC" w:themeFill="accent4" w:themeFillTint="33"/>
            <w:noWrap/>
            <w:vAlign w:val="center"/>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2019</w:t>
            </w:r>
          </w:p>
        </w:tc>
        <w:tc>
          <w:tcPr>
            <w:tcW w:w="1834" w:type="dxa"/>
            <w:gridSpan w:val="2"/>
            <w:tcBorders>
              <w:top w:val="single" w:sz="12" w:space="0" w:color="auto"/>
              <w:left w:val="nil"/>
              <w:bottom w:val="single" w:sz="4" w:space="0" w:color="auto"/>
              <w:right w:val="single" w:sz="4" w:space="0" w:color="auto"/>
            </w:tcBorders>
            <w:shd w:val="clear" w:color="auto" w:fill="FFF2CC" w:themeFill="accent4" w:themeFillTint="33"/>
            <w:noWrap/>
            <w:vAlign w:val="center"/>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2020</w:t>
            </w:r>
          </w:p>
        </w:tc>
        <w:tc>
          <w:tcPr>
            <w:tcW w:w="1835" w:type="dxa"/>
            <w:gridSpan w:val="2"/>
            <w:tcBorders>
              <w:top w:val="single" w:sz="12" w:space="0" w:color="auto"/>
              <w:left w:val="nil"/>
              <w:bottom w:val="single" w:sz="4" w:space="0" w:color="auto"/>
              <w:right w:val="single" w:sz="12" w:space="0" w:color="auto"/>
            </w:tcBorders>
            <w:shd w:val="clear" w:color="auto" w:fill="FFF2CC" w:themeFill="accent4" w:themeFillTint="33"/>
            <w:noWrap/>
            <w:vAlign w:val="center"/>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2021 (1-10)</w:t>
            </w:r>
          </w:p>
        </w:tc>
      </w:tr>
      <w:tr w:rsidR="003172DF" w:rsidRPr="00820ECA" w:rsidTr="006F57D7">
        <w:trPr>
          <w:trHeight w:val="300"/>
        </w:trPr>
        <w:tc>
          <w:tcPr>
            <w:tcW w:w="1134" w:type="dxa"/>
            <w:vMerge/>
            <w:tcBorders>
              <w:top w:val="single" w:sz="4" w:space="0" w:color="auto"/>
              <w:left w:val="single" w:sz="12" w:space="0" w:color="auto"/>
              <w:bottom w:val="single" w:sz="12" w:space="0" w:color="auto"/>
              <w:right w:val="single" w:sz="4" w:space="0" w:color="auto"/>
            </w:tcBorders>
            <w:shd w:val="clear" w:color="auto" w:fill="FFF2CC" w:themeFill="accent4" w:themeFillTint="33"/>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p>
        </w:tc>
        <w:tc>
          <w:tcPr>
            <w:tcW w:w="1144"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Kč</w:t>
            </w:r>
          </w:p>
        </w:tc>
        <w:tc>
          <w:tcPr>
            <w:tcW w:w="700"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podíl [%]</w:t>
            </w:r>
          </w:p>
        </w:tc>
        <w:tc>
          <w:tcPr>
            <w:tcW w:w="1133"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Kč</w:t>
            </w:r>
          </w:p>
        </w:tc>
        <w:tc>
          <w:tcPr>
            <w:tcW w:w="702"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podíl [%]</w:t>
            </w:r>
          </w:p>
        </w:tc>
        <w:tc>
          <w:tcPr>
            <w:tcW w:w="1141"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Kč</w:t>
            </w:r>
          </w:p>
        </w:tc>
        <w:tc>
          <w:tcPr>
            <w:tcW w:w="693"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podíl [%]</w:t>
            </w:r>
          </w:p>
        </w:tc>
        <w:tc>
          <w:tcPr>
            <w:tcW w:w="1150" w:type="dxa"/>
            <w:tcBorders>
              <w:top w:val="nil"/>
              <w:left w:val="nil"/>
              <w:bottom w:val="single" w:sz="12" w:space="0" w:color="auto"/>
              <w:right w:val="single" w:sz="4"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Kč</w:t>
            </w:r>
          </w:p>
        </w:tc>
        <w:tc>
          <w:tcPr>
            <w:tcW w:w="685" w:type="dxa"/>
            <w:tcBorders>
              <w:top w:val="nil"/>
              <w:left w:val="nil"/>
              <w:bottom w:val="single" w:sz="12" w:space="0" w:color="auto"/>
              <w:right w:val="single" w:sz="12" w:space="0" w:color="auto"/>
            </w:tcBorders>
            <w:shd w:val="clear" w:color="auto" w:fill="FFF2CC" w:themeFill="accent4" w:themeFillTint="33"/>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podíl [%]</w:t>
            </w:r>
          </w:p>
        </w:tc>
      </w:tr>
      <w:tr w:rsidR="003172DF" w:rsidRPr="00820ECA" w:rsidTr="006F57D7">
        <w:trPr>
          <w:trHeight w:val="232"/>
        </w:trPr>
        <w:tc>
          <w:tcPr>
            <w:tcW w:w="8482" w:type="dxa"/>
            <w:gridSpan w:val="9"/>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3172DF" w:rsidRPr="006F57D7" w:rsidRDefault="003E6205" w:rsidP="00306691">
            <w:pPr>
              <w:spacing w:after="120" w:line="240" w:lineRule="auto"/>
              <w:jc w:val="center"/>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„Tradiční slevy“</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Návštěvy rodičů v ústavech, sleva 50 %</w:t>
            </w:r>
          </w:p>
        </w:tc>
        <w:tc>
          <w:tcPr>
            <w:tcW w:w="1144"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104 667</w:t>
            </w:r>
          </w:p>
        </w:tc>
        <w:tc>
          <w:tcPr>
            <w:tcW w:w="70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0,01</w:t>
            </w:r>
          </w:p>
        </w:tc>
        <w:tc>
          <w:tcPr>
            <w:tcW w:w="113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202 642</w:t>
            </w:r>
          </w:p>
        </w:tc>
        <w:tc>
          <w:tcPr>
            <w:tcW w:w="702"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0,00</w:t>
            </w:r>
          </w:p>
        </w:tc>
        <w:tc>
          <w:tcPr>
            <w:tcW w:w="1141"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91 262</w:t>
            </w:r>
          </w:p>
        </w:tc>
        <w:tc>
          <w:tcPr>
            <w:tcW w:w="69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0,00</w:t>
            </w:r>
          </w:p>
        </w:tc>
        <w:tc>
          <w:tcPr>
            <w:tcW w:w="115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66 657</w:t>
            </w:r>
          </w:p>
        </w:tc>
        <w:tc>
          <w:tcPr>
            <w:tcW w:w="685"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0,00</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Zdravotně postižení (ZTP, ZTP/P), sleva     75 %</w:t>
            </w:r>
          </w:p>
        </w:tc>
        <w:tc>
          <w:tcPr>
            <w:tcW w:w="1144"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14 709 663</w:t>
            </w:r>
          </w:p>
        </w:tc>
        <w:tc>
          <w:tcPr>
            <w:tcW w:w="70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0,78</w:t>
            </w:r>
          </w:p>
        </w:tc>
        <w:tc>
          <w:tcPr>
            <w:tcW w:w="113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41 411 974</w:t>
            </w:r>
          </w:p>
        </w:tc>
        <w:tc>
          <w:tcPr>
            <w:tcW w:w="702"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0,72</w:t>
            </w:r>
          </w:p>
        </w:tc>
        <w:tc>
          <w:tcPr>
            <w:tcW w:w="1141"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23 435 066</w:t>
            </w:r>
          </w:p>
        </w:tc>
        <w:tc>
          <w:tcPr>
            <w:tcW w:w="69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0,67</w:t>
            </w:r>
          </w:p>
        </w:tc>
        <w:tc>
          <w:tcPr>
            <w:tcW w:w="115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19 212 535</w:t>
            </w:r>
          </w:p>
        </w:tc>
        <w:tc>
          <w:tcPr>
            <w:tcW w:w="685"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0,62</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Průvodce držitele průkazu ZTP/P, sleva 100%</w:t>
            </w:r>
          </w:p>
        </w:tc>
        <w:tc>
          <w:tcPr>
            <w:tcW w:w="1144"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3 088 493</w:t>
            </w:r>
          </w:p>
        </w:tc>
        <w:tc>
          <w:tcPr>
            <w:tcW w:w="70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0,16</w:t>
            </w:r>
          </w:p>
        </w:tc>
        <w:tc>
          <w:tcPr>
            <w:tcW w:w="113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8 806 148</w:t>
            </w:r>
          </w:p>
        </w:tc>
        <w:tc>
          <w:tcPr>
            <w:tcW w:w="702"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0,15</w:t>
            </w:r>
          </w:p>
        </w:tc>
        <w:tc>
          <w:tcPr>
            <w:tcW w:w="1141"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5 280 100</w:t>
            </w:r>
          </w:p>
        </w:tc>
        <w:tc>
          <w:tcPr>
            <w:tcW w:w="69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0,15</w:t>
            </w:r>
          </w:p>
        </w:tc>
        <w:tc>
          <w:tcPr>
            <w:tcW w:w="115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5 303 531</w:t>
            </w:r>
          </w:p>
        </w:tc>
        <w:tc>
          <w:tcPr>
            <w:tcW w:w="685"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0,17</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Děti do 6 let,            sleva 100 %</w:t>
            </w:r>
          </w:p>
        </w:tc>
        <w:tc>
          <w:tcPr>
            <w:tcW w:w="1144"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26 506 253</w:t>
            </w:r>
          </w:p>
        </w:tc>
        <w:tc>
          <w:tcPr>
            <w:tcW w:w="70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1,41</w:t>
            </w:r>
          </w:p>
        </w:tc>
        <w:tc>
          <w:tcPr>
            <w:tcW w:w="113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93 391 955</w:t>
            </w:r>
          </w:p>
        </w:tc>
        <w:tc>
          <w:tcPr>
            <w:tcW w:w="702"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1,61</w:t>
            </w:r>
          </w:p>
        </w:tc>
        <w:tc>
          <w:tcPr>
            <w:tcW w:w="1141"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53 290 419</w:t>
            </w:r>
          </w:p>
        </w:tc>
        <w:tc>
          <w:tcPr>
            <w:tcW w:w="69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1,53</w:t>
            </w:r>
          </w:p>
        </w:tc>
        <w:tc>
          <w:tcPr>
            <w:tcW w:w="115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49 155 452</w:t>
            </w:r>
          </w:p>
        </w:tc>
        <w:tc>
          <w:tcPr>
            <w:tcW w:w="685"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1,59</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Celkem "tradiční" slevy</w:t>
            </w:r>
          </w:p>
        </w:tc>
        <w:tc>
          <w:tcPr>
            <w:tcW w:w="1144"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44 409 076</w:t>
            </w:r>
          </w:p>
        </w:tc>
        <w:tc>
          <w:tcPr>
            <w:tcW w:w="70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2,36</w:t>
            </w:r>
          </w:p>
        </w:tc>
        <w:tc>
          <w:tcPr>
            <w:tcW w:w="113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143 812 719</w:t>
            </w:r>
          </w:p>
        </w:tc>
        <w:tc>
          <w:tcPr>
            <w:tcW w:w="702"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2,48</w:t>
            </w:r>
          </w:p>
        </w:tc>
        <w:tc>
          <w:tcPr>
            <w:tcW w:w="1141"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82 096 847</w:t>
            </w:r>
          </w:p>
        </w:tc>
        <w:tc>
          <w:tcPr>
            <w:tcW w:w="693"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2,36</w:t>
            </w:r>
          </w:p>
        </w:tc>
        <w:tc>
          <w:tcPr>
            <w:tcW w:w="1150"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73 738 175</w:t>
            </w:r>
          </w:p>
        </w:tc>
        <w:tc>
          <w:tcPr>
            <w:tcW w:w="685" w:type="dxa"/>
            <w:tcBorders>
              <w:top w:val="nil"/>
              <w:left w:val="nil"/>
              <w:bottom w:val="single" w:sz="4" w:space="0" w:color="auto"/>
              <w:right w:val="single" w:sz="4" w:space="0" w:color="auto"/>
            </w:tcBorders>
            <w:shd w:val="clear" w:color="auto" w:fill="auto"/>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2,38</w:t>
            </w:r>
          </w:p>
        </w:tc>
      </w:tr>
      <w:tr w:rsidR="003172DF" w:rsidRPr="00820ECA" w:rsidTr="006F57D7">
        <w:trPr>
          <w:trHeight w:val="300"/>
        </w:trPr>
        <w:tc>
          <w:tcPr>
            <w:tcW w:w="8482" w:type="dxa"/>
            <w:gridSpan w:val="9"/>
            <w:tcBorders>
              <w:top w:val="nil"/>
              <w:left w:val="single" w:sz="4" w:space="0" w:color="auto"/>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center"/>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Slevy zavedené v roce 2018</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Dítě/žák, sleva 75 %</w:t>
            </w:r>
          </w:p>
        </w:tc>
        <w:tc>
          <w:tcPr>
            <w:tcW w:w="1144"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688 436 191</w:t>
            </w:r>
          </w:p>
        </w:tc>
        <w:tc>
          <w:tcPr>
            <w:tcW w:w="700"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36,51</w:t>
            </w:r>
          </w:p>
        </w:tc>
        <w:tc>
          <w:tcPr>
            <w:tcW w:w="1133"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2 205 762 379</w:t>
            </w:r>
          </w:p>
        </w:tc>
        <w:tc>
          <w:tcPr>
            <w:tcW w:w="702"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38,10</w:t>
            </w:r>
          </w:p>
        </w:tc>
        <w:tc>
          <w:tcPr>
            <w:tcW w:w="1141"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1 261 162 030</w:t>
            </w:r>
          </w:p>
        </w:tc>
        <w:tc>
          <w:tcPr>
            <w:tcW w:w="693"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36,27</w:t>
            </w:r>
          </w:p>
        </w:tc>
        <w:tc>
          <w:tcPr>
            <w:tcW w:w="1150"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1 135 608 189</w:t>
            </w:r>
          </w:p>
        </w:tc>
        <w:tc>
          <w:tcPr>
            <w:tcW w:w="685"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36,67</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Student, sleva 75 %</w:t>
            </w:r>
          </w:p>
        </w:tc>
        <w:tc>
          <w:tcPr>
            <w:tcW w:w="1144"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728 344 051</w:t>
            </w:r>
          </w:p>
        </w:tc>
        <w:tc>
          <w:tcPr>
            <w:tcW w:w="700"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38,63</w:t>
            </w:r>
          </w:p>
        </w:tc>
        <w:tc>
          <w:tcPr>
            <w:tcW w:w="1133"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2 147 877 710</w:t>
            </w:r>
          </w:p>
        </w:tc>
        <w:tc>
          <w:tcPr>
            <w:tcW w:w="702"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37,10</w:t>
            </w:r>
          </w:p>
        </w:tc>
        <w:tc>
          <w:tcPr>
            <w:tcW w:w="1141"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1 386 503 993</w:t>
            </w:r>
          </w:p>
        </w:tc>
        <w:tc>
          <w:tcPr>
            <w:tcW w:w="693"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39,88</w:t>
            </w:r>
          </w:p>
        </w:tc>
        <w:tc>
          <w:tcPr>
            <w:tcW w:w="1150"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1 231 511 345</w:t>
            </w:r>
          </w:p>
        </w:tc>
        <w:tc>
          <w:tcPr>
            <w:tcW w:w="685"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39,77</w:t>
            </w:r>
          </w:p>
        </w:tc>
      </w:tr>
      <w:tr w:rsidR="003172DF" w:rsidRPr="00820ECA" w:rsidTr="006F57D7">
        <w:trPr>
          <w:trHeight w:val="300"/>
        </w:trPr>
        <w:tc>
          <w:tcPr>
            <w:tcW w:w="1134" w:type="dxa"/>
            <w:tcBorders>
              <w:top w:val="nil"/>
              <w:left w:val="single" w:sz="4" w:space="0" w:color="auto"/>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Senior 65+, sleva 75 %</w:t>
            </w:r>
          </w:p>
        </w:tc>
        <w:tc>
          <w:tcPr>
            <w:tcW w:w="1144"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424 214 833</w:t>
            </w:r>
          </w:p>
        </w:tc>
        <w:tc>
          <w:tcPr>
            <w:tcW w:w="700"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22,50</w:t>
            </w:r>
          </w:p>
        </w:tc>
        <w:tc>
          <w:tcPr>
            <w:tcW w:w="1133"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1 292 468 385</w:t>
            </w:r>
          </w:p>
        </w:tc>
        <w:tc>
          <w:tcPr>
            <w:tcW w:w="702"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22,32</w:t>
            </w:r>
          </w:p>
        </w:tc>
        <w:tc>
          <w:tcPr>
            <w:tcW w:w="1141"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747 116 657</w:t>
            </w:r>
          </w:p>
        </w:tc>
        <w:tc>
          <w:tcPr>
            <w:tcW w:w="693"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21,49</w:t>
            </w:r>
          </w:p>
        </w:tc>
        <w:tc>
          <w:tcPr>
            <w:tcW w:w="1150"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655 916 743</w:t>
            </w:r>
          </w:p>
        </w:tc>
        <w:tc>
          <w:tcPr>
            <w:tcW w:w="685" w:type="dxa"/>
            <w:tcBorders>
              <w:top w:val="nil"/>
              <w:left w:val="nil"/>
              <w:bottom w:val="single" w:sz="4"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color w:val="000000"/>
                <w:sz w:val="12"/>
                <w:szCs w:val="12"/>
                <w:lang w:eastAsia="cs-CZ"/>
              </w:rPr>
            </w:pPr>
            <w:r w:rsidRPr="006F57D7">
              <w:rPr>
                <w:rFonts w:ascii="Arial" w:eastAsia="Times New Roman" w:hAnsi="Arial" w:cs="Arial"/>
                <w:color w:val="000000"/>
                <w:sz w:val="12"/>
                <w:szCs w:val="12"/>
                <w:lang w:eastAsia="cs-CZ"/>
              </w:rPr>
              <w:t>21,18</w:t>
            </w:r>
          </w:p>
        </w:tc>
      </w:tr>
      <w:tr w:rsidR="003172DF" w:rsidRPr="00820ECA" w:rsidTr="006F57D7">
        <w:trPr>
          <w:trHeight w:val="300"/>
        </w:trPr>
        <w:tc>
          <w:tcPr>
            <w:tcW w:w="1134" w:type="dxa"/>
            <w:tcBorders>
              <w:top w:val="nil"/>
              <w:left w:val="single" w:sz="4" w:space="0" w:color="auto"/>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Celkem slevy zavedené v roce 2018</w:t>
            </w:r>
          </w:p>
        </w:tc>
        <w:tc>
          <w:tcPr>
            <w:tcW w:w="1144"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1 840 995 075</w:t>
            </w:r>
          </w:p>
        </w:tc>
        <w:tc>
          <w:tcPr>
            <w:tcW w:w="700"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97,64</w:t>
            </w:r>
          </w:p>
        </w:tc>
        <w:tc>
          <w:tcPr>
            <w:tcW w:w="1133"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5 646 108 474</w:t>
            </w:r>
          </w:p>
        </w:tc>
        <w:tc>
          <w:tcPr>
            <w:tcW w:w="702"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97,52</w:t>
            </w:r>
          </w:p>
        </w:tc>
        <w:tc>
          <w:tcPr>
            <w:tcW w:w="1141"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3 394 782 680</w:t>
            </w:r>
          </w:p>
        </w:tc>
        <w:tc>
          <w:tcPr>
            <w:tcW w:w="693"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97,64</w:t>
            </w:r>
          </w:p>
        </w:tc>
        <w:tc>
          <w:tcPr>
            <w:tcW w:w="1150"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3 023 036 277</w:t>
            </w:r>
          </w:p>
        </w:tc>
        <w:tc>
          <w:tcPr>
            <w:tcW w:w="685" w:type="dxa"/>
            <w:tcBorders>
              <w:top w:val="nil"/>
              <w:left w:val="nil"/>
              <w:bottom w:val="single" w:sz="12" w:space="0" w:color="auto"/>
              <w:right w:val="single" w:sz="4" w:space="0" w:color="auto"/>
            </w:tcBorders>
            <w:shd w:val="clear" w:color="000000" w:fill="E2EFDA"/>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97,62</w:t>
            </w:r>
          </w:p>
        </w:tc>
      </w:tr>
      <w:tr w:rsidR="003172DF" w:rsidRPr="00820ECA" w:rsidTr="006F57D7">
        <w:trPr>
          <w:trHeight w:val="300"/>
        </w:trPr>
        <w:tc>
          <w:tcPr>
            <w:tcW w:w="1134" w:type="dxa"/>
            <w:tcBorders>
              <w:top w:val="single" w:sz="12" w:space="0" w:color="auto"/>
              <w:left w:val="single" w:sz="12" w:space="0" w:color="auto"/>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Celkem slevy</w:t>
            </w:r>
          </w:p>
        </w:tc>
        <w:tc>
          <w:tcPr>
            <w:tcW w:w="1144"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1 885 404 151</w:t>
            </w:r>
          </w:p>
        </w:tc>
        <w:tc>
          <w:tcPr>
            <w:tcW w:w="700"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100,00</w:t>
            </w:r>
          </w:p>
        </w:tc>
        <w:tc>
          <w:tcPr>
            <w:tcW w:w="1133"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5 789 921 193</w:t>
            </w:r>
          </w:p>
        </w:tc>
        <w:tc>
          <w:tcPr>
            <w:tcW w:w="702"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100,00</w:t>
            </w:r>
          </w:p>
        </w:tc>
        <w:tc>
          <w:tcPr>
            <w:tcW w:w="1141"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3 476 879 527</w:t>
            </w:r>
          </w:p>
        </w:tc>
        <w:tc>
          <w:tcPr>
            <w:tcW w:w="693"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100,00</w:t>
            </w:r>
          </w:p>
        </w:tc>
        <w:tc>
          <w:tcPr>
            <w:tcW w:w="1150" w:type="dxa"/>
            <w:tcBorders>
              <w:top w:val="single" w:sz="12" w:space="0" w:color="auto"/>
              <w:left w:val="nil"/>
              <w:bottom w:val="single" w:sz="12" w:space="0" w:color="auto"/>
              <w:right w:val="single" w:sz="4"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3 096 774 452</w:t>
            </w:r>
          </w:p>
        </w:tc>
        <w:tc>
          <w:tcPr>
            <w:tcW w:w="685" w:type="dxa"/>
            <w:tcBorders>
              <w:top w:val="single" w:sz="12" w:space="0" w:color="auto"/>
              <w:left w:val="nil"/>
              <w:bottom w:val="single" w:sz="12" w:space="0" w:color="auto"/>
              <w:right w:val="single" w:sz="12" w:space="0" w:color="auto"/>
            </w:tcBorders>
            <w:shd w:val="clear" w:color="000000" w:fill="FFF2CC"/>
            <w:noWrap/>
            <w:vAlign w:val="center"/>
            <w:hideMark/>
          </w:tcPr>
          <w:p w:rsidR="003172DF" w:rsidRPr="006F57D7" w:rsidRDefault="003172DF" w:rsidP="00306691">
            <w:pPr>
              <w:spacing w:after="120" w:line="240" w:lineRule="auto"/>
              <w:jc w:val="right"/>
              <w:rPr>
                <w:rFonts w:ascii="Arial" w:eastAsia="Times New Roman" w:hAnsi="Arial" w:cs="Arial"/>
                <w:b/>
                <w:bCs/>
                <w:color w:val="000000"/>
                <w:sz w:val="12"/>
                <w:szCs w:val="12"/>
                <w:lang w:eastAsia="cs-CZ"/>
              </w:rPr>
            </w:pPr>
            <w:r w:rsidRPr="006F57D7">
              <w:rPr>
                <w:rFonts w:ascii="Arial" w:eastAsia="Times New Roman" w:hAnsi="Arial" w:cs="Arial"/>
                <w:b/>
                <w:bCs/>
                <w:color w:val="000000"/>
                <w:sz w:val="12"/>
                <w:szCs w:val="12"/>
                <w:lang w:eastAsia="cs-CZ"/>
              </w:rPr>
              <w:t>100,00</w:t>
            </w:r>
          </w:p>
        </w:tc>
      </w:tr>
    </w:tbl>
    <w:p w:rsidR="00A34A12" w:rsidRDefault="00A34A12" w:rsidP="00306691">
      <w:pPr>
        <w:pStyle w:val="Odstavecseseznamem"/>
        <w:numPr>
          <w:ilvl w:val="0"/>
          <w:numId w:val="10"/>
        </w:numPr>
        <w:spacing w:before="120" w:after="120" w:line="240" w:lineRule="auto"/>
        <w:ind w:left="567" w:hanging="567"/>
        <w:contextualSpacing w:val="0"/>
        <w:jc w:val="both"/>
        <w:rPr>
          <w:rFonts w:ascii="Arial" w:hAnsi="Arial" w:cs="Arial"/>
        </w:rPr>
      </w:pPr>
      <w:r w:rsidRPr="006F57D7">
        <w:rPr>
          <w:rFonts w:ascii="Arial" w:hAnsi="Arial" w:cs="Arial"/>
        </w:rPr>
        <w:t>Ve výše uvedené tabulce jde o data vzniklá kombinací výše uvedených zdrojů. Údaj v řádku „celkem“ je získán z informačního systému IMIS o objemu fakturací dopravců za ztráty vzniklé v konkrétním kalendářním měsíci. Údaje o ztrátách podle jednotlivých kategorií slev jsou dopočítány z dat z CIS JŘ, který obsahuje pouze část záznamů o</w:t>
      </w:r>
      <w:r w:rsidR="006F57D7">
        <w:rPr>
          <w:rFonts w:ascii="Arial" w:hAnsi="Arial" w:cs="Arial"/>
        </w:rPr>
        <w:t> </w:t>
      </w:r>
      <w:r w:rsidRPr="006F57D7">
        <w:rPr>
          <w:rFonts w:ascii="Arial" w:hAnsi="Arial" w:cs="Arial"/>
        </w:rPr>
        <w:t>prodaných jízdenkách, proto je v tabulce proporcionálně dopočítán objem jednotlivých kategorií slev</w:t>
      </w:r>
      <w:r w:rsidRPr="006F57D7">
        <w:rPr>
          <w:rStyle w:val="Znakapoznpodarou"/>
          <w:rFonts w:ascii="Arial" w:hAnsi="Arial" w:cs="Arial"/>
        </w:rPr>
        <w:footnoteReference w:id="11"/>
      </w:r>
      <w:r w:rsidRPr="006F57D7">
        <w:rPr>
          <w:rFonts w:ascii="Arial" w:hAnsi="Arial" w:cs="Arial"/>
        </w:rPr>
        <w:t xml:space="preserve"> do plné výše fakturace, která zahrnuje též data od organizátorů IDS.</w:t>
      </w:r>
    </w:p>
    <w:p w:rsidR="006F57D7" w:rsidRPr="006F57D7" w:rsidRDefault="006F57D7" w:rsidP="006F57D7">
      <w:pPr>
        <w:pStyle w:val="Odstavecseseznamem"/>
        <w:spacing w:before="120" w:after="120" w:line="240" w:lineRule="auto"/>
        <w:ind w:left="567"/>
        <w:contextualSpacing w:val="0"/>
        <w:jc w:val="both"/>
        <w:rPr>
          <w:rFonts w:ascii="Arial" w:hAnsi="Arial" w:cs="Arial"/>
        </w:rPr>
      </w:pPr>
    </w:p>
    <w:p w:rsidR="00A34A12" w:rsidRPr="006F57D7" w:rsidRDefault="003445EC" w:rsidP="006F57D7">
      <w:pPr>
        <w:tabs>
          <w:tab w:val="left" w:pos="567"/>
        </w:tabs>
        <w:spacing w:after="120" w:line="240" w:lineRule="auto"/>
        <w:ind w:left="567" w:hanging="567"/>
        <w:jc w:val="both"/>
        <w:rPr>
          <w:rFonts w:ascii="Arial" w:hAnsi="Arial" w:cs="Arial"/>
        </w:rPr>
      </w:pPr>
      <w:r w:rsidRPr="006F57D7">
        <w:rPr>
          <w:rFonts w:ascii="Arial" w:hAnsi="Arial" w:cs="Arial"/>
          <w:b/>
          <w:noProof/>
          <w:color w:val="002060"/>
          <w:lang w:eastAsia="cs-CZ"/>
        </w:rPr>
        <w:t>2.3</w:t>
      </w:r>
      <w:r w:rsidRPr="006F57D7">
        <w:rPr>
          <w:rFonts w:ascii="Arial" w:hAnsi="Arial" w:cs="Arial"/>
          <w:b/>
          <w:noProof/>
          <w:color w:val="002060"/>
          <w:lang w:eastAsia="cs-CZ"/>
        </w:rPr>
        <w:tab/>
      </w:r>
      <w:r w:rsidR="00A34A12" w:rsidRPr="006F57D7">
        <w:rPr>
          <w:rFonts w:ascii="Arial" w:hAnsi="Arial" w:cs="Arial"/>
          <w:b/>
          <w:noProof/>
          <w:color w:val="002060"/>
          <w:lang w:eastAsia="cs-CZ"/>
        </w:rPr>
        <w:t xml:space="preserve">Vyčíslení možných úspor pro </w:t>
      </w:r>
      <w:r w:rsidR="002B0158" w:rsidRPr="006F57D7">
        <w:rPr>
          <w:rFonts w:ascii="Arial" w:hAnsi="Arial" w:cs="Arial"/>
          <w:b/>
          <w:noProof/>
          <w:color w:val="002060"/>
          <w:lang w:eastAsia="cs-CZ"/>
        </w:rPr>
        <w:t>státní</w:t>
      </w:r>
      <w:r w:rsidR="00A34A12" w:rsidRPr="006F57D7">
        <w:rPr>
          <w:rFonts w:ascii="Arial" w:hAnsi="Arial" w:cs="Arial"/>
          <w:b/>
          <w:noProof/>
          <w:color w:val="002060"/>
          <w:lang w:eastAsia="cs-CZ"/>
        </w:rPr>
        <w:t xml:space="preserve"> rozpočet</w:t>
      </w:r>
      <w:r w:rsidR="002B0158" w:rsidRPr="006F57D7">
        <w:rPr>
          <w:rFonts w:ascii="Arial" w:hAnsi="Arial" w:cs="Arial"/>
          <w:b/>
          <w:noProof/>
          <w:color w:val="002060"/>
          <w:lang w:eastAsia="cs-CZ"/>
        </w:rPr>
        <w:t xml:space="preserve"> v případě změny v </w:t>
      </w:r>
      <w:r w:rsidR="00D02040" w:rsidRPr="006F57D7">
        <w:rPr>
          <w:rFonts w:ascii="Arial" w:hAnsi="Arial" w:cs="Arial"/>
          <w:b/>
          <w:noProof/>
          <w:color w:val="002060"/>
          <w:lang w:eastAsia="cs-CZ"/>
        </w:rPr>
        <w:t>obla</w:t>
      </w:r>
      <w:r w:rsidR="002B0158" w:rsidRPr="006F57D7">
        <w:rPr>
          <w:rFonts w:ascii="Arial" w:hAnsi="Arial" w:cs="Arial"/>
          <w:b/>
          <w:noProof/>
          <w:color w:val="002060"/>
          <w:lang w:eastAsia="cs-CZ"/>
        </w:rPr>
        <w:t>sti nařizování slev</w:t>
      </w:r>
    </w:p>
    <w:p w:rsidR="003172DF" w:rsidRPr="006F57D7" w:rsidRDefault="00A34A12" w:rsidP="00306691">
      <w:pPr>
        <w:pStyle w:val="Odstavecseseznamem"/>
        <w:numPr>
          <w:ilvl w:val="0"/>
          <w:numId w:val="10"/>
        </w:numPr>
        <w:spacing w:after="120" w:line="240" w:lineRule="auto"/>
        <w:ind w:left="567" w:hanging="567"/>
        <w:contextualSpacing w:val="0"/>
        <w:jc w:val="both"/>
        <w:rPr>
          <w:rFonts w:ascii="Arial" w:hAnsi="Arial" w:cs="Arial"/>
        </w:rPr>
      </w:pPr>
      <w:r w:rsidRPr="006F57D7">
        <w:rPr>
          <w:rFonts w:ascii="Arial" w:hAnsi="Arial" w:cs="Arial"/>
        </w:rPr>
        <w:t>Pro vyčíslení možných úspor je důležité stanovit, jaké jsou předpokládány výdaje na kompenzace v daném období. Níže jsou uvedeny dva modely s různými výpočtovými základnami:</w:t>
      </w:r>
    </w:p>
    <w:p w:rsidR="00A34A12" w:rsidRPr="006F57D7" w:rsidRDefault="00A34A12" w:rsidP="00306691">
      <w:pPr>
        <w:pStyle w:val="Odstavecseseznamem"/>
        <w:spacing w:after="120" w:line="240" w:lineRule="auto"/>
        <w:ind w:left="567"/>
        <w:contextualSpacing w:val="0"/>
        <w:jc w:val="both"/>
        <w:rPr>
          <w:rFonts w:ascii="Arial" w:eastAsia="Times New Roman" w:hAnsi="Arial" w:cs="Arial"/>
          <w:lang w:eastAsia="cs-CZ"/>
        </w:rPr>
      </w:pPr>
      <w:r w:rsidRPr="006F57D7">
        <w:rPr>
          <w:rFonts w:ascii="Arial" w:eastAsia="Times New Roman" w:hAnsi="Arial" w:cs="Arial"/>
          <w:b/>
          <w:color w:val="002060"/>
          <w:lang w:eastAsia="cs-CZ"/>
        </w:rPr>
        <w:t>Scénář A</w:t>
      </w:r>
      <w:r w:rsidRPr="006F57D7">
        <w:rPr>
          <w:rFonts w:ascii="Arial" w:eastAsia="Times New Roman" w:hAnsi="Arial" w:cs="Arial"/>
          <w:b/>
          <w:color w:val="000000"/>
          <w:lang w:eastAsia="cs-CZ"/>
        </w:rPr>
        <w:t xml:space="preserve"> </w:t>
      </w:r>
      <w:r w:rsidRPr="006F57D7">
        <w:rPr>
          <w:rFonts w:ascii="Arial" w:eastAsia="Times New Roman" w:hAnsi="Arial" w:cs="Arial"/>
          <w:lang w:eastAsia="cs-CZ"/>
        </w:rPr>
        <w:t xml:space="preserve">vychází z toho, že se </w:t>
      </w:r>
      <w:r w:rsidR="00486C2F" w:rsidRPr="006F57D7">
        <w:rPr>
          <w:rFonts w:ascii="Arial" w:eastAsia="Times New Roman" w:hAnsi="Arial" w:cs="Arial"/>
          <w:lang w:eastAsia="cs-CZ"/>
        </w:rPr>
        <w:t>dosáhne již krátkodobě situace obdobné jako v konjunkturním před-</w:t>
      </w:r>
      <w:proofErr w:type="spellStart"/>
      <w:r w:rsidR="00486C2F" w:rsidRPr="006F57D7">
        <w:rPr>
          <w:rFonts w:ascii="Arial" w:eastAsia="Times New Roman" w:hAnsi="Arial" w:cs="Arial"/>
          <w:lang w:eastAsia="cs-CZ"/>
        </w:rPr>
        <w:t>covidovém</w:t>
      </w:r>
      <w:proofErr w:type="spellEnd"/>
      <w:r w:rsidR="00486C2F" w:rsidRPr="006F57D7">
        <w:rPr>
          <w:rFonts w:ascii="Arial" w:eastAsia="Times New Roman" w:hAnsi="Arial" w:cs="Arial"/>
          <w:lang w:eastAsia="cs-CZ"/>
        </w:rPr>
        <w:t xml:space="preserve"> roce 2019. Je třeba upozornit, že </w:t>
      </w:r>
      <w:r w:rsidRPr="006F57D7">
        <w:rPr>
          <w:rFonts w:ascii="Arial" w:eastAsia="Times New Roman" w:hAnsi="Arial" w:cs="Arial"/>
          <w:lang w:eastAsia="cs-CZ"/>
        </w:rPr>
        <w:t>obnoví</w:t>
      </w:r>
      <w:r w:rsidR="00486C2F" w:rsidRPr="006F57D7">
        <w:rPr>
          <w:rFonts w:ascii="Arial" w:eastAsia="Times New Roman" w:hAnsi="Arial" w:cs="Arial"/>
          <w:lang w:eastAsia="cs-CZ"/>
        </w:rPr>
        <w:t>-li se</w:t>
      </w:r>
      <w:r w:rsidRPr="006F57D7">
        <w:rPr>
          <w:rFonts w:ascii="Arial" w:eastAsia="Times New Roman" w:hAnsi="Arial" w:cs="Arial"/>
          <w:lang w:eastAsia="cs-CZ"/>
        </w:rPr>
        <w:t xml:space="preserve"> meziroční růst výkonů, obvyklý v době před vypuknutím pandemie COVID-19</w:t>
      </w:r>
      <w:r w:rsidR="00486C2F" w:rsidRPr="006F57D7">
        <w:rPr>
          <w:rFonts w:ascii="Arial" w:eastAsia="Times New Roman" w:hAnsi="Arial" w:cs="Arial"/>
          <w:lang w:eastAsia="cs-CZ"/>
        </w:rPr>
        <w:t>, pak mohou být h</w:t>
      </w:r>
      <w:r w:rsidR="00C20FEB" w:rsidRPr="006F57D7">
        <w:rPr>
          <w:rFonts w:ascii="Arial" w:eastAsia="Times New Roman" w:hAnsi="Arial" w:cs="Arial"/>
          <w:lang w:eastAsia="cs-CZ"/>
        </w:rPr>
        <w:t>odnoty i vyšší, než jsou uvedeny</w:t>
      </w:r>
      <w:r w:rsidR="00486C2F" w:rsidRPr="006F57D7">
        <w:rPr>
          <w:rFonts w:ascii="Arial" w:eastAsia="Times New Roman" w:hAnsi="Arial" w:cs="Arial"/>
          <w:lang w:eastAsia="cs-CZ"/>
        </w:rPr>
        <w:t xml:space="preserve"> v modelu A</w:t>
      </w:r>
      <w:r w:rsidRPr="006F57D7">
        <w:rPr>
          <w:rFonts w:ascii="Arial" w:eastAsia="Times New Roman" w:hAnsi="Arial" w:cs="Arial"/>
          <w:lang w:eastAsia="cs-CZ"/>
        </w:rPr>
        <w:t xml:space="preserve">. V takovém případě by bylo možné očekávat, že dojde k ročnímu nárůstu cestování skupin cestujících </w:t>
      </w:r>
      <w:r w:rsidR="002B0158" w:rsidRPr="006F57D7">
        <w:rPr>
          <w:rFonts w:ascii="Arial" w:eastAsia="Times New Roman" w:hAnsi="Arial" w:cs="Arial"/>
          <w:lang w:eastAsia="cs-CZ"/>
        </w:rPr>
        <w:t>dotčených slevou</w:t>
      </w:r>
      <w:r w:rsidRPr="006F57D7">
        <w:rPr>
          <w:rFonts w:ascii="Arial" w:eastAsia="Times New Roman" w:hAnsi="Arial" w:cs="Arial"/>
          <w:lang w:eastAsia="cs-CZ"/>
        </w:rPr>
        <w:t xml:space="preserve"> (a</w:t>
      </w:r>
      <w:r w:rsidR="007045D0">
        <w:rPr>
          <w:rFonts w:ascii="Arial" w:eastAsia="Times New Roman" w:hAnsi="Arial" w:cs="Arial"/>
          <w:lang w:eastAsia="cs-CZ"/>
        </w:rPr>
        <w:t> </w:t>
      </w:r>
      <w:r w:rsidRPr="006F57D7">
        <w:rPr>
          <w:rFonts w:ascii="Arial" w:eastAsia="Times New Roman" w:hAnsi="Arial" w:cs="Arial"/>
          <w:lang w:eastAsia="cs-CZ"/>
        </w:rPr>
        <w:t xml:space="preserve">tedy i nároků na úhradu </w:t>
      </w:r>
      <w:r w:rsidR="002B0158" w:rsidRPr="006F57D7">
        <w:rPr>
          <w:rFonts w:ascii="Arial" w:eastAsia="Times New Roman" w:hAnsi="Arial" w:cs="Arial"/>
          <w:lang w:eastAsia="cs-CZ"/>
        </w:rPr>
        <w:t>státem nařízených slev, nebudou-li omezeny ne</w:t>
      </w:r>
      <w:r w:rsidR="003E6205" w:rsidRPr="006F57D7">
        <w:rPr>
          <w:rFonts w:ascii="Arial" w:eastAsia="Times New Roman" w:hAnsi="Arial" w:cs="Arial"/>
          <w:lang w:eastAsia="cs-CZ"/>
        </w:rPr>
        <w:t>bo zrušeny)</w:t>
      </w:r>
      <w:r w:rsidR="002B0158" w:rsidRPr="006F57D7">
        <w:rPr>
          <w:rFonts w:ascii="Arial" w:eastAsia="Times New Roman" w:hAnsi="Arial" w:cs="Arial"/>
          <w:lang w:eastAsia="cs-CZ"/>
        </w:rPr>
        <w:t xml:space="preserve">. </w:t>
      </w:r>
      <w:r w:rsidR="00486C2F" w:rsidRPr="006F57D7">
        <w:rPr>
          <w:rFonts w:ascii="Arial" w:eastAsia="Times New Roman" w:hAnsi="Arial" w:cs="Arial"/>
          <w:lang w:eastAsia="cs-CZ"/>
        </w:rPr>
        <w:t xml:space="preserve">Nicméně, v modelu A počítáme s hodnotami odpovídajícími roku 2019, a tedy v </w:t>
      </w:r>
      <w:r w:rsidR="002B0158" w:rsidRPr="006F57D7">
        <w:rPr>
          <w:rFonts w:ascii="Arial" w:eastAsia="Times New Roman" w:hAnsi="Arial" w:cs="Arial"/>
          <w:lang w:eastAsia="cs-CZ"/>
        </w:rPr>
        <w:t>tomto scénáři lze v roce 2022 modelovat úhradu státem nařízených slev, pokud se neučiní žádné opatření, v celkové hodno</w:t>
      </w:r>
      <w:r w:rsidR="00486C2F" w:rsidRPr="006F57D7">
        <w:rPr>
          <w:rFonts w:ascii="Arial" w:eastAsia="Times New Roman" w:hAnsi="Arial" w:cs="Arial"/>
          <w:lang w:eastAsia="cs-CZ"/>
        </w:rPr>
        <w:t>tě asi 5 </w:t>
      </w:r>
      <w:r w:rsidR="00E63154" w:rsidRPr="006F57D7">
        <w:rPr>
          <w:rFonts w:ascii="Arial" w:eastAsia="Times New Roman" w:hAnsi="Arial" w:cs="Arial"/>
          <w:lang w:eastAsia="cs-CZ"/>
        </w:rPr>
        <w:t>78</w:t>
      </w:r>
      <w:r w:rsidR="00486C2F" w:rsidRPr="006F57D7">
        <w:rPr>
          <w:rFonts w:ascii="Arial" w:eastAsia="Times New Roman" w:hAnsi="Arial" w:cs="Arial"/>
          <w:lang w:eastAsia="cs-CZ"/>
        </w:rPr>
        <w:t>9,9</w:t>
      </w:r>
      <w:r w:rsidR="002B0158" w:rsidRPr="006F57D7">
        <w:rPr>
          <w:rFonts w:ascii="Arial" w:eastAsia="Times New Roman" w:hAnsi="Arial" w:cs="Arial"/>
          <w:lang w:eastAsia="cs-CZ"/>
        </w:rPr>
        <w:t xml:space="preserve"> mil. Kč.</w:t>
      </w:r>
    </w:p>
    <w:p w:rsidR="002B0158" w:rsidRPr="006F57D7" w:rsidRDefault="002B0158" w:rsidP="00306691">
      <w:pPr>
        <w:pStyle w:val="Odstavecseseznamem"/>
        <w:spacing w:after="120" w:line="240" w:lineRule="auto"/>
        <w:ind w:left="567"/>
        <w:contextualSpacing w:val="0"/>
        <w:jc w:val="both"/>
        <w:rPr>
          <w:rFonts w:ascii="Arial" w:eastAsia="Times New Roman" w:hAnsi="Arial" w:cs="Arial"/>
          <w:lang w:eastAsia="cs-CZ"/>
        </w:rPr>
      </w:pPr>
      <w:r w:rsidRPr="006F57D7">
        <w:rPr>
          <w:rFonts w:ascii="Arial" w:eastAsia="Times New Roman" w:hAnsi="Arial" w:cs="Arial"/>
          <w:b/>
          <w:color w:val="002060"/>
          <w:lang w:eastAsia="cs-CZ"/>
        </w:rPr>
        <w:t xml:space="preserve">Scénář B </w:t>
      </w:r>
      <w:r w:rsidR="00486C2F" w:rsidRPr="006F57D7">
        <w:rPr>
          <w:rFonts w:ascii="Arial" w:eastAsia="Times New Roman" w:hAnsi="Arial" w:cs="Arial"/>
          <w:lang w:eastAsia="cs-CZ"/>
        </w:rPr>
        <w:t>je přepravně velmi pesimistický</w:t>
      </w:r>
      <w:r w:rsidRPr="006F57D7">
        <w:rPr>
          <w:rFonts w:ascii="Arial" w:eastAsia="Times New Roman" w:hAnsi="Arial" w:cs="Arial"/>
          <w:lang w:eastAsia="cs-CZ"/>
        </w:rPr>
        <w:t xml:space="preserve"> o</w:t>
      </w:r>
      <w:r w:rsidR="00486C2F" w:rsidRPr="006F57D7">
        <w:rPr>
          <w:rFonts w:ascii="Arial" w:eastAsia="Times New Roman" w:hAnsi="Arial" w:cs="Arial"/>
          <w:lang w:eastAsia="cs-CZ"/>
        </w:rPr>
        <w:t>dhad vycházející z dat roku 2020.</w:t>
      </w:r>
      <w:r w:rsidRPr="006F57D7">
        <w:rPr>
          <w:rFonts w:ascii="Arial" w:eastAsia="Times New Roman" w:hAnsi="Arial" w:cs="Arial"/>
          <w:lang w:eastAsia="cs-CZ"/>
        </w:rPr>
        <w:t xml:space="preserve"> Vychází z toho, že i v roce 2022 lze předpokládat některá omezení v mobilitě obyvatel. Současně je zřejmé, že někteří cestující z obav před cestováním mezi ostatními lidmi omezili užívání veřejné dopravy a jejich návrat do ní bude trvat déle. Rizikem odhadů v rámci této varianty ale je, že patrně nedojde k trvalému omezení hybnosti obyvatel, a tedy dříve či později se budou úhrady pohybovat směrem ke scénáři A. </w:t>
      </w:r>
      <w:r w:rsidR="00486C2F" w:rsidRPr="006F57D7">
        <w:rPr>
          <w:rFonts w:ascii="Arial" w:eastAsia="Times New Roman" w:hAnsi="Arial" w:cs="Arial"/>
          <w:lang w:eastAsia="cs-CZ"/>
        </w:rPr>
        <w:t>Pokud by se neobnovil nárůst přepravy a čísla zůstala v úrovni roku 2020, lze v</w:t>
      </w:r>
      <w:r w:rsidRPr="006F57D7">
        <w:rPr>
          <w:rFonts w:ascii="Arial" w:eastAsia="Times New Roman" w:hAnsi="Arial" w:cs="Arial"/>
          <w:lang w:eastAsia="cs-CZ"/>
        </w:rPr>
        <w:t> tomto sc</w:t>
      </w:r>
      <w:r w:rsidR="00486C2F" w:rsidRPr="006F57D7">
        <w:rPr>
          <w:rFonts w:ascii="Arial" w:eastAsia="Times New Roman" w:hAnsi="Arial" w:cs="Arial"/>
          <w:lang w:eastAsia="cs-CZ"/>
        </w:rPr>
        <w:t xml:space="preserve">énáři </w:t>
      </w:r>
      <w:r w:rsidRPr="006F57D7">
        <w:rPr>
          <w:rFonts w:ascii="Arial" w:eastAsia="Times New Roman" w:hAnsi="Arial" w:cs="Arial"/>
          <w:lang w:eastAsia="cs-CZ"/>
        </w:rPr>
        <w:t>v roce 2022 modelovat úhradu státem nařízených slev, pokud se neučiní žádné opatř</w:t>
      </w:r>
      <w:r w:rsidR="00486C2F" w:rsidRPr="006F57D7">
        <w:rPr>
          <w:rFonts w:ascii="Arial" w:eastAsia="Times New Roman" w:hAnsi="Arial" w:cs="Arial"/>
          <w:lang w:eastAsia="cs-CZ"/>
        </w:rPr>
        <w:t>ení, v celkové hodnotě asi 3</w:t>
      </w:r>
      <w:r w:rsidR="00E63154" w:rsidRPr="006F57D7">
        <w:rPr>
          <w:rFonts w:ascii="Arial" w:eastAsia="Times New Roman" w:hAnsi="Arial" w:cs="Arial"/>
          <w:lang w:eastAsia="cs-CZ"/>
        </w:rPr>
        <w:t> </w:t>
      </w:r>
      <w:r w:rsidR="00486C2F" w:rsidRPr="006F57D7">
        <w:rPr>
          <w:rFonts w:ascii="Arial" w:eastAsia="Times New Roman" w:hAnsi="Arial" w:cs="Arial"/>
          <w:lang w:eastAsia="cs-CZ"/>
        </w:rPr>
        <w:t>476,</w:t>
      </w:r>
      <w:r w:rsidR="00E63154" w:rsidRPr="006F57D7">
        <w:rPr>
          <w:rFonts w:ascii="Arial" w:eastAsia="Times New Roman" w:hAnsi="Arial" w:cs="Arial"/>
          <w:lang w:eastAsia="cs-CZ"/>
        </w:rPr>
        <w:t>9</w:t>
      </w:r>
      <w:r w:rsidRPr="006F57D7">
        <w:rPr>
          <w:rFonts w:ascii="Arial" w:eastAsia="Times New Roman" w:hAnsi="Arial" w:cs="Arial"/>
          <w:lang w:eastAsia="cs-CZ"/>
        </w:rPr>
        <w:t xml:space="preserve"> mil. Kč.</w:t>
      </w:r>
    </w:p>
    <w:p w:rsidR="002B0158" w:rsidRPr="006F57D7" w:rsidRDefault="002B0158" w:rsidP="00306691">
      <w:pPr>
        <w:spacing w:after="120" w:line="240" w:lineRule="auto"/>
        <w:ind w:left="567"/>
        <w:jc w:val="both"/>
        <w:rPr>
          <w:rFonts w:ascii="Arial" w:hAnsi="Arial" w:cs="Arial"/>
          <w:b/>
          <w:color w:val="002060"/>
        </w:rPr>
      </w:pPr>
      <w:r w:rsidRPr="006F57D7">
        <w:rPr>
          <w:rFonts w:ascii="Arial" w:hAnsi="Arial" w:cs="Arial"/>
          <w:b/>
          <w:color w:val="002060"/>
        </w:rPr>
        <w:t>Reálně lze očekávat, že úhrada slev se bude pohybovat v poli mezi těmito scénáři</w:t>
      </w:r>
      <w:r w:rsidR="00486C2F" w:rsidRPr="006F57D7">
        <w:rPr>
          <w:rFonts w:ascii="Arial" w:hAnsi="Arial" w:cs="Arial"/>
          <w:b/>
          <w:color w:val="002060"/>
        </w:rPr>
        <w:t>, přičemž pravděpodobnější předpokládáme vývoj podle scénáře A než podle scénáře B</w:t>
      </w:r>
      <w:r w:rsidRPr="006F57D7">
        <w:rPr>
          <w:rFonts w:ascii="Arial" w:hAnsi="Arial" w:cs="Arial"/>
          <w:b/>
          <w:color w:val="002060"/>
        </w:rPr>
        <w:t>.</w:t>
      </w:r>
    </w:p>
    <w:p w:rsidR="00286754" w:rsidRPr="006F57D7" w:rsidRDefault="002B0158" w:rsidP="00306691">
      <w:pPr>
        <w:pStyle w:val="Odstavecseseznamem"/>
        <w:numPr>
          <w:ilvl w:val="0"/>
          <w:numId w:val="10"/>
        </w:numPr>
        <w:spacing w:after="120" w:line="240" w:lineRule="auto"/>
        <w:ind w:left="567" w:hanging="567"/>
        <w:contextualSpacing w:val="0"/>
        <w:jc w:val="both"/>
        <w:rPr>
          <w:rFonts w:ascii="Arial" w:hAnsi="Arial" w:cs="Arial"/>
        </w:rPr>
      </w:pPr>
      <w:r w:rsidRPr="006F57D7">
        <w:rPr>
          <w:rFonts w:ascii="Arial" w:hAnsi="Arial" w:cs="Arial"/>
          <w:b/>
          <w:color w:val="002060"/>
        </w:rPr>
        <w:t>M</w:t>
      </w:r>
      <w:r w:rsidR="00CD1CBF" w:rsidRPr="006F57D7">
        <w:rPr>
          <w:rFonts w:ascii="Arial" w:hAnsi="Arial" w:cs="Arial"/>
          <w:b/>
          <w:color w:val="002060"/>
        </w:rPr>
        <w:t xml:space="preserve">ožné úspory lze hledat prakticky jen ve skupině třech </w:t>
      </w:r>
      <w:r w:rsidR="00CD1CBF" w:rsidRPr="006F57D7">
        <w:rPr>
          <w:rFonts w:ascii="Arial" w:hAnsi="Arial" w:cs="Arial"/>
          <w:b/>
          <w:i/>
          <w:color w:val="002060"/>
        </w:rPr>
        <w:t xml:space="preserve">„nových“ </w:t>
      </w:r>
      <w:r w:rsidR="00CD1CBF" w:rsidRPr="006F57D7">
        <w:rPr>
          <w:rFonts w:ascii="Arial" w:hAnsi="Arial" w:cs="Arial"/>
          <w:b/>
          <w:color w:val="002060"/>
        </w:rPr>
        <w:t>slev zavedený</w:t>
      </w:r>
      <w:r w:rsidRPr="006F57D7">
        <w:rPr>
          <w:rFonts w:ascii="Arial" w:hAnsi="Arial" w:cs="Arial"/>
          <w:b/>
          <w:color w:val="002060"/>
        </w:rPr>
        <w:t>ch v září 2018, které tvoří 97-</w:t>
      </w:r>
      <w:r w:rsidR="00CD1CBF" w:rsidRPr="006F57D7">
        <w:rPr>
          <w:rFonts w:ascii="Arial" w:hAnsi="Arial" w:cs="Arial"/>
          <w:b/>
          <w:color w:val="002060"/>
        </w:rPr>
        <w:t>98 % celkové</w:t>
      </w:r>
      <w:r w:rsidRPr="006F57D7">
        <w:rPr>
          <w:rFonts w:ascii="Arial" w:hAnsi="Arial" w:cs="Arial"/>
          <w:b/>
          <w:color w:val="002060"/>
        </w:rPr>
        <w:t>ho objemu kompenzací.</w:t>
      </w:r>
      <w:r w:rsidRPr="006F57D7">
        <w:rPr>
          <w:rFonts w:ascii="Arial" w:hAnsi="Arial" w:cs="Arial"/>
          <w:color w:val="002060"/>
        </w:rPr>
        <w:t xml:space="preserve"> </w:t>
      </w:r>
      <w:r w:rsidRPr="006F57D7">
        <w:rPr>
          <w:rFonts w:ascii="Arial" w:hAnsi="Arial" w:cs="Arial"/>
        </w:rPr>
        <w:t xml:space="preserve">U </w:t>
      </w:r>
      <w:r w:rsidRPr="006F57D7">
        <w:rPr>
          <w:rFonts w:ascii="Arial" w:hAnsi="Arial" w:cs="Arial"/>
          <w:i/>
        </w:rPr>
        <w:t>„tradičních</w:t>
      </w:r>
      <w:r w:rsidR="00CD1CBF" w:rsidRPr="006F57D7">
        <w:rPr>
          <w:rFonts w:ascii="Arial" w:hAnsi="Arial" w:cs="Arial"/>
          <w:i/>
        </w:rPr>
        <w:t>“</w:t>
      </w:r>
      <w:r w:rsidR="00CD1CBF" w:rsidRPr="006F57D7">
        <w:rPr>
          <w:rFonts w:ascii="Arial" w:hAnsi="Arial" w:cs="Arial"/>
        </w:rPr>
        <w:t xml:space="preserve"> slev, které se v roce 2018 neupravovaly, se navíc ve dvou případech jedná o slevy dané zákonem (slevy pro zdravotně postižené a jejich průvodce</w:t>
      </w:r>
      <w:r w:rsidRPr="006F57D7">
        <w:rPr>
          <w:rFonts w:ascii="Arial" w:hAnsi="Arial" w:cs="Arial"/>
        </w:rPr>
        <w:t>), d</w:t>
      </w:r>
      <w:r w:rsidR="001C625C" w:rsidRPr="006F57D7">
        <w:rPr>
          <w:rFonts w:ascii="Arial" w:hAnsi="Arial" w:cs="Arial"/>
        </w:rPr>
        <w:t xml:space="preserve">alší </w:t>
      </w:r>
      <w:r w:rsidR="001C625C" w:rsidRPr="006F57D7">
        <w:rPr>
          <w:rFonts w:ascii="Arial" w:hAnsi="Arial" w:cs="Arial"/>
          <w:i/>
        </w:rPr>
        <w:t>„tradiční</w:t>
      </w:r>
      <w:r w:rsidR="0043047E" w:rsidRPr="006F57D7">
        <w:rPr>
          <w:rFonts w:ascii="Arial" w:hAnsi="Arial" w:cs="Arial"/>
          <w:i/>
        </w:rPr>
        <w:t>“</w:t>
      </w:r>
      <w:r w:rsidR="0043047E" w:rsidRPr="006F57D7">
        <w:rPr>
          <w:rFonts w:ascii="Arial" w:hAnsi="Arial" w:cs="Arial"/>
        </w:rPr>
        <w:t xml:space="preserve"> slevou je</w:t>
      </w:r>
      <w:r w:rsidR="007045D0">
        <w:rPr>
          <w:rFonts w:ascii="Arial" w:hAnsi="Arial" w:cs="Arial"/>
        </w:rPr>
        <w:t> </w:t>
      </w:r>
      <w:r w:rsidR="0043047E" w:rsidRPr="006F57D7">
        <w:rPr>
          <w:rFonts w:ascii="Arial" w:hAnsi="Arial" w:cs="Arial"/>
        </w:rPr>
        <w:t>sleva pro rodiče dojíždějící za dětmi umístěnými v ústavech, která však</w:t>
      </w:r>
      <w:r w:rsidRPr="006F57D7">
        <w:rPr>
          <w:rFonts w:ascii="Arial" w:hAnsi="Arial" w:cs="Arial"/>
        </w:rPr>
        <w:t xml:space="preserve"> tvoří nepatrnou část kompenzací</w:t>
      </w:r>
      <w:r w:rsidR="0043047E" w:rsidRPr="006F57D7">
        <w:rPr>
          <w:rFonts w:ascii="Arial" w:hAnsi="Arial" w:cs="Arial"/>
        </w:rPr>
        <w:t xml:space="preserve">. </w:t>
      </w:r>
      <w:r w:rsidR="00DA0F87" w:rsidRPr="006F57D7">
        <w:rPr>
          <w:rFonts w:ascii="Arial" w:hAnsi="Arial" w:cs="Arial"/>
        </w:rPr>
        <w:t>Poslední položkou ze „starých“ slev je bezplatná přeprava dětí do 6</w:t>
      </w:r>
      <w:r w:rsidR="007045D0">
        <w:rPr>
          <w:rFonts w:ascii="Arial" w:hAnsi="Arial" w:cs="Arial"/>
        </w:rPr>
        <w:t> </w:t>
      </w:r>
      <w:r w:rsidR="00DA0F87" w:rsidRPr="006F57D7">
        <w:rPr>
          <w:rFonts w:ascii="Arial" w:hAnsi="Arial" w:cs="Arial"/>
        </w:rPr>
        <w:t>let, kde nelze hledat podstatné úspory</w:t>
      </w:r>
      <w:r w:rsidRPr="006F57D7">
        <w:rPr>
          <w:rFonts w:ascii="Arial" w:hAnsi="Arial" w:cs="Arial"/>
        </w:rPr>
        <w:t>.</w:t>
      </w:r>
    </w:p>
    <w:p w:rsidR="002B0158" w:rsidRPr="006F57D7" w:rsidRDefault="002B0158" w:rsidP="00306691">
      <w:pPr>
        <w:pStyle w:val="Odstavecseseznamem"/>
        <w:numPr>
          <w:ilvl w:val="0"/>
          <w:numId w:val="10"/>
        </w:numPr>
        <w:spacing w:after="120" w:line="240" w:lineRule="auto"/>
        <w:ind w:left="567" w:hanging="567"/>
        <w:contextualSpacing w:val="0"/>
        <w:jc w:val="both"/>
        <w:rPr>
          <w:rFonts w:ascii="Arial" w:hAnsi="Arial" w:cs="Arial"/>
        </w:rPr>
      </w:pPr>
      <w:r w:rsidRPr="006F57D7">
        <w:rPr>
          <w:rFonts w:ascii="Arial" w:hAnsi="Arial" w:cs="Arial"/>
        </w:rPr>
        <w:t xml:space="preserve">V rámci dalšího vývoje slev byly zvažovány i varianty, kdy by například nebyly studentské slevy poskytovány v letních měsících, kdy zpravidla není semestrální výuka, popřípadě </w:t>
      </w:r>
      <w:r w:rsidR="00DC58F9" w:rsidRPr="006F57D7">
        <w:rPr>
          <w:rFonts w:ascii="Arial" w:hAnsi="Arial" w:cs="Arial"/>
        </w:rPr>
        <w:t>by byly poskytovány pouze na studentský průkaz při cestě s místa trvalého bydliště do místa studia. Uvedené varianty bývaly v minulosti uplatňovány, nicméně představují komplikaci pro kontrolu i snadné pochopení slev ze strany cestující veřejnosti. V případě výluky slevy v letních měsících vznikají problémy, kdy student jede na zkoušku v období prázdnin, v případě studentského průkazu jsou složité diskuse o</w:t>
      </w:r>
      <w:r w:rsidR="007045D0">
        <w:rPr>
          <w:rFonts w:ascii="Arial" w:hAnsi="Arial" w:cs="Arial"/>
        </w:rPr>
        <w:t> </w:t>
      </w:r>
      <w:r w:rsidR="00DC58F9" w:rsidRPr="006F57D7">
        <w:rPr>
          <w:rFonts w:ascii="Arial" w:hAnsi="Arial" w:cs="Arial"/>
          <w:i/>
        </w:rPr>
        <w:t>„povolených“</w:t>
      </w:r>
      <w:r w:rsidR="00DC58F9" w:rsidRPr="006F57D7">
        <w:rPr>
          <w:rFonts w:ascii="Arial" w:hAnsi="Arial" w:cs="Arial"/>
        </w:rPr>
        <w:t xml:space="preserve"> či </w:t>
      </w:r>
      <w:r w:rsidR="00DC58F9" w:rsidRPr="006F57D7">
        <w:rPr>
          <w:rFonts w:ascii="Arial" w:hAnsi="Arial" w:cs="Arial"/>
          <w:i/>
        </w:rPr>
        <w:t>„nepovolených“</w:t>
      </w:r>
      <w:r w:rsidR="00DC58F9" w:rsidRPr="006F57D7">
        <w:rPr>
          <w:rFonts w:ascii="Arial" w:hAnsi="Arial" w:cs="Arial"/>
        </w:rPr>
        <w:t xml:space="preserve"> trasách. </w:t>
      </w:r>
      <w:r w:rsidR="00A551FE" w:rsidRPr="006F57D7">
        <w:rPr>
          <w:rFonts w:ascii="Arial" w:hAnsi="Arial" w:cs="Arial"/>
        </w:rPr>
        <w:t>Stejně tak je zcela ne</w:t>
      </w:r>
      <w:r w:rsidR="00245E76" w:rsidRPr="006F57D7">
        <w:rPr>
          <w:rFonts w:ascii="Arial" w:hAnsi="Arial" w:cs="Arial"/>
        </w:rPr>
        <w:t>v</w:t>
      </w:r>
      <w:r w:rsidR="00A551FE" w:rsidRPr="006F57D7">
        <w:rPr>
          <w:rFonts w:ascii="Arial" w:hAnsi="Arial" w:cs="Arial"/>
        </w:rPr>
        <w:t>hodné omezovat nařízení slev pouze na závazky veřejné služby (objednávané spoje)</w:t>
      </w:r>
      <w:r w:rsidR="00203E65" w:rsidRPr="006F57D7">
        <w:rPr>
          <w:rFonts w:ascii="Arial" w:hAnsi="Arial" w:cs="Arial"/>
        </w:rPr>
        <w:t>, p</w:t>
      </w:r>
      <w:r w:rsidR="00A551FE" w:rsidRPr="006F57D7">
        <w:rPr>
          <w:rFonts w:ascii="Arial" w:hAnsi="Arial" w:cs="Arial"/>
        </w:rPr>
        <w:t xml:space="preserve">rotože cestující není schopen rozlišit, který spoj je objednávaný a který spadá do režimu komerčních spojů </w:t>
      </w:r>
      <w:r w:rsidR="00A551FE" w:rsidRPr="006F57D7">
        <w:rPr>
          <w:rFonts w:ascii="Arial" w:hAnsi="Arial" w:cs="Arial"/>
          <w:i/>
        </w:rPr>
        <w:t>Open Access</w:t>
      </w:r>
      <w:r w:rsidR="00A551FE" w:rsidRPr="006F57D7">
        <w:rPr>
          <w:rFonts w:ascii="Arial" w:hAnsi="Arial" w:cs="Arial"/>
        </w:rPr>
        <w:t xml:space="preserve">. </w:t>
      </w:r>
      <w:r w:rsidR="00DC58F9" w:rsidRPr="006F57D7">
        <w:rPr>
          <w:rFonts w:ascii="Arial" w:hAnsi="Arial" w:cs="Arial"/>
        </w:rPr>
        <w:t>Obecně takto administrativně složité varianty nelze do budoucího období doporučit.</w:t>
      </w:r>
    </w:p>
    <w:p w:rsidR="002B0158" w:rsidRPr="006F57D7" w:rsidRDefault="002B0158" w:rsidP="00306691">
      <w:pPr>
        <w:pStyle w:val="Odstavecseseznamem"/>
        <w:numPr>
          <w:ilvl w:val="0"/>
          <w:numId w:val="10"/>
        </w:numPr>
        <w:spacing w:after="120" w:line="240" w:lineRule="auto"/>
        <w:ind w:left="567" w:hanging="567"/>
        <w:contextualSpacing w:val="0"/>
        <w:jc w:val="both"/>
        <w:rPr>
          <w:rFonts w:ascii="Arial" w:hAnsi="Arial" w:cs="Arial"/>
        </w:rPr>
      </w:pPr>
      <w:r w:rsidRPr="006F57D7">
        <w:rPr>
          <w:rFonts w:ascii="Arial" w:hAnsi="Arial" w:cs="Arial"/>
        </w:rPr>
        <w:t xml:space="preserve">V případě </w:t>
      </w:r>
      <w:r w:rsidR="00DC58F9" w:rsidRPr="006F57D7">
        <w:rPr>
          <w:rFonts w:ascii="Arial" w:hAnsi="Arial" w:cs="Arial"/>
        </w:rPr>
        <w:t>modelu</w:t>
      </w:r>
      <w:r w:rsidRPr="006F57D7">
        <w:rPr>
          <w:rFonts w:ascii="Arial" w:hAnsi="Arial" w:cs="Arial"/>
        </w:rPr>
        <w:t xml:space="preserve"> A</w:t>
      </w:r>
      <w:r w:rsidR="00DC58F9" w:rsidRPr="006F57D7">
        <w:rPr>
          <w:rFonts w:ascii="Arial" w:hAnsi="Arial" w:cs="Arial"/>
        </w:rPr>
        <w:t xml:space="preserve"> lze hrubě odhadovat dopady pro státní rozpočet následující:</w:t>
      </w:r>
    </w:p>
    <w:p w:rsidR="00DC58F9" w:rsidRPr="006F57D7" w:rsidRDefault="00DC58F9" w:rsidP="006F57D7">
      <w:pPr>
        <w:spacing w:after="120" w:line="240" w:lineRule="auto"/>
        <w:ind w:left="567"/>
        <w:jc w:val="both"/>
        <w:rPr>
          <w:rFonts w:ascii="Arial" w:hAnsi="Arial" w:cs="Arial"/>
          <w:b/>
          <w:color w:val="002060"/>
          <w:sz w:val="18"/>
          <w:szCs w:val="18"/>
        </w:rPr>
      </w:pPr>
      <w:r w:rsidRPr="006F57D7">
        <w:rPr>
          <w:rFonts w:ascii="Arial" w:hAnsi="Arial" w:cs="Arial"/>
          <w:b/>
          <w:color w:val="002060"/>
          <w:sz w:val="18"/>
          <w:szCs w:val="18"/>
        </w:rPr>
        <w:t>Tab. 4: Úspora podle nové výše slevy v případě modelu A</w:t>
      </w:r>
    </w:p>
    <w:tbl>
      <w:tblPr>
        <w:tblW w:w="8510" w:type="dxa"/>
        <w:tblInd w:w="552" w:type="dxa"/>
        <w:shd w:val="clear" w:color="000000" w:fill="auto"/>
        <w:tblLayout w:type="fixed"/>
        <w:tblCellMar>
          <w:left w:w="70" w:type="dxa"/>
          <w:right w:w="70" w:type="dxa"/>
        </w:tblCellMar>
        <w:tblLook w:val="04A0" w:firstRow="1" w:lastRow="0" w:firstColumn="1" w:lastColumn="0" w:noHBand="0" w:noVBand="1"/>
      </w:tblPr>
      <w:tblGrid>
        <w:gridCol w:w="1707"/>
        <w:gridCol w:w="850"/>
        <w:gridCol w:w="850"/>
        <w:gridCol w:w="851"/>
        <w:gridCol w:w="850"/>
        <w:gridCol w:w="850"/>
        <w:gridCol w:w="851"/>
        <w:gridCol w:w="850"/>
        <w:gridCol w:w="851"/>
      </w:tblGrid>
      <w:tr w:rsidR="00DC58F9" w:rsidRPr="00306691" w:rsidTr="006F57D7">
        <w:trPr>
          <w:trHeight w:val="466"/>
        </w:trPr>
        <w:tc>
          <w:tcPr>
            <w:tcW w:w="1707" w:type="dxa"/>
            <w:tcBorders>
              <w:top w:val="single" w:sz="12" w:space="0" w:color="auto"/>
              <w:left w:val="single" w:sz="12" w:space="0" w:color="auto"/>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rPr>
                <w:rFonts w:ascii="Arial" w:eastAsia="Times New Roman" w:hAnsi="Arial" w:cs="Arial"/>
                <w:i/>
                <w:iCs/>
                <w:color w:val="000000"/>
                <w:sz w:val="18"/>
                <w:szCs w:val="18"/>
                <w:lang w:eastAsia="cs-CZ"/>
              </w:rPr>
            </w:pPr>
            <w:r w:rsidRPr="006F57D7">
              <w:rPr>
                <w:rFonts w:ascii="Arial" w:eastAsia="Times New Roman" w:hAnsi="Arial" w:cs="Arial"/>
                <w:i/>
                <w:iCs/>
                <w:color w:val="000000"/>
                <w:sz w:val="18"/>
                <w:szCs w:val="18"/>
                <w:lang w:eastAsia="cs-CZ"/>
              </w:rPr>
              <w:t>v mil. Kč</w:t>
            </w:r>
          </w:p>
        </w:tc>
        <w:tc>
          <w:tcPr>
            <w:tcW w:w="1700" w:type="dxa"/>
            <w:gridSpan w:val="2"/>
            <w:tcBorders>
              <w:top w:val="single" w:sz="12" w:space="0" w:color="auto"/>
              <w:left w:val="nil"/>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75 % (platné)</w:t>
            </w:r>
          </w:p>
        </w:tc>
        <w:tc>
          <w:tcPr>
            <w:tcW w:w="1701" w:type="dxa"/>
            <w:gridSpan w:val="2"/>
            <w:tcBorders>
              <w:top w:val="single" w:sz="12" w:space="0" w:color="auto"/>
              <w:left w:val="nil"/>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snížení na 50 %</w:t>
            </w:r>
          </w:p>
        </w:tc>
        <w:tc>
          <w:tcPr>
            <w:tcW w:w="1701" w:type="dxa"/>
            <w:gridSpan w:val="2"/>
            <w:tcBorders>
              <w:top w:val="single" w:sz="12" w:space="0" w:color="auto"/>
              <w:left w:val="nil"/>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snížení na 25 %</w:t>
            </w:r>
          </w:p>
        </w:tc>
        <w:tc>
          <w:tcPr>
            <w:tcW w:w="1701" w:type="dxa"/>
            <w:gridSpan w:val="2"/>
            <w:tcBorders>
              <w:top w:val="single" w:sz="12" w:space="0" w:color="auto"/>
              <w:left w:val="nil"/>
              <w:bottom w:val="single" w:sz="4" w:space="0" w:color="auto"/>
              <w:right w:val="single" w:sz="12" w:space="0" w:color="auto"/>
            </w:tcBorders>
            <w:shd w:val="clear" w:color="000000" w:fill="FFF2CC" w:themeFill="accent4" w:themeFillTint="33"/>
            <w:vAlign w:val="center"/>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zrušení slevy</w:t>
            </w:r>
          </w:p>
        </w:tc>
      </w:tr>
      <w:tr w:rsidR="00DC58F9" w:rsidRPr="00306691" w:rsidTr="006F57D7">
        <w:trPr>
          <w:trHeight w:val="300"/>
        </w:trPr>
        <w:tc>
          <w:tcPr>
            <w:tcW w:w="1707" w:type="dxa"/>
            <w:tcBorders>
              <w:top w:val="nil"/>
              <w:left w:val="single" w:sz="12" w:space="0" w:color="auto"/>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rPr>
                <w:rFonts w:ascii="Arial" w:eastAsia="Times New Roman" w:hAnsi="Arial" w:cs="Arial"/>
                <w:b/>
                <w:bCs/>
                <w:color w:val="000000"/>
                <w:sz w:val="18"/>
                <w:szCs w:val="18"/>
                <w:lang w:eastAsia="cs-CZ"/>
              </w:rPr>
            </w:pPr>
            <w:r w:rsidRPr="006F57D7">
              <w:rPr>
                <w:rFonts w:ascii="Arial" w:eastAsia="Times New Roman" w:hAnsi="Arial" w:cs="Arial"/>
                <w:b/>
                <w:bCs/>
                <w:color w:val="000000"/>
                <w:sz w:val="18"/>
                <w:szCs w:val="18"/>
                <w:lang w:eastAsia="cs-CZ"/>
              </w:rPr>
              <w:t>Slevové kategorie</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c>
          <w:tcPr>
            <w:tcW w:w="851"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1"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c>
          <w:tcPr>
            <w:tcW w:w="850" w:type="dxa"/>
            <w:tcBorders>
              <w:top w:val="nil"/>
              <w:left w:val="nil"/>
              <w:bottom w:val="single" w:sz="12" w:space="0" w:color="auto"/>
              <w:right w:val="single" w:sz="4" w:space="0" w:color="auto"/>
            </w:tcBorders>
            <w:shd w:val="clear" w:color="000000" w:fill="FFF2CC" w:themeFill="accent4" w:themeFillTint="33"/>
            <w:vAlign w:val="center"/>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1" w:type="dxa"/>
            <w:tcBorders>
              <w:top w:val="nil"/>
              <w:left w:val="nil"/>
              <w:bottom w:val="single" w:sz="12" w:space="0" w:color="auto"/>
              <w:right w:val="single" w:sz="12" w:space="0" w:color="auto"/>
            </w:tcBorders>
            <w:shd w:val="clear" w:color="000000" w:fill="FFF2CC" w:themeFill="accent4" w:themeFillTint="33"/>
            <w:vAlign w:val="center"/>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r>
      <w:tr w:rsidR="0024289E" w:rsidRPr="0024289E" w:rsidTr="006F57D7">
        <w:trPr>
          <w:trHeight w:val="300"/>
        </w:trPr>
        <w:tc>
          <w:tcPr>
            <w:tcW w:w="1707"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FC1E7A" w:rsidRPr="006F57D7" w:rsidRDefault="00FC1E7A" w:rsidP="00FC1E7A">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Dítě/žák, sleva 75 %</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2 205,8</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12" w:space="0" w:color="auto"/>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1 470,5</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735,3</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735,3</w:t>
            </w:r>
          </w:p>
        </w:tc>
        <w:tc>
          <w:tcPr>
            <w:tcW w:w="851"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1 470,5</w:t>
            </w:r>
          </w:p>
        </w:tc>
        <w:tc>
          <w:tcPr>
            <w:tcW w:w="850" w:type="dxa"/>
            <w:tcBorders>
              <w:top w:val="single" w:sz="12" w:space="0" w:color="auto"/>
              <w:left w:val="nil"/>
              <w:bottom w:val="single" w:sz="4" w:space="0" w:color="auto"/>
              <w:right w:val="single" w:sz="4" w:space="0" w:color="auto"/>
            </w:tcBorders>
            <w:shd w:val="clear" w:color="auto" w:fill="FFFFFF" w:themeFill="background1"/>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12" w:space="0" w:color="auto"/>
              <w:left w:val="nil"/>
              <w:bottom w:val="single" w:sz="4" w:space="0" w:color="auto"/>
              <w:right w:val="single" w:sz="4" w:space="0" w:color="auto"/>
            </w:tcBorders>
            <w:shd w:val="clear" w:color="auto" w:fill="E2EFD9" w:themeFill="accent6" w:themeFillTint="33"/>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2 205,8</w:t>
            </w:r>
          </w:p>
        </w:tc>
      </w:tr>
      <w:tr w:rsidR="0024289E" w:rsidRPr="0024289E" w:rsidTr="006F57D7">
        <w:trPr>
          <w:trHeight w:val="300"/>
        </w:trPr>
        <w:tc>
          <w:tcPr>
            <w:tcW w:w="170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C1E7A" w:rsidRPr="006F57D7" w:rsidRDefault="00FC1E7A" w:rsidP="00FC1E7A">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Student, sleva 75 %</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2 147,9</w:t>
            </w:r>
          </w:p>
        </w:tc>
        <w:tc>
          <w:tcPr>
            <w:tcW w:w="850" w:type="dxa"/>
            <w:tcBorders>
              <w:top w:val="nil"/>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1 431,9</w:t>
            </w:r>
          </w:p>
        </w:tc>
        <w:tc>
          <w:tcPr>
            <w:tcW w:w="8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716,0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716,0</w:t>
            </w:r>
          </w:p>
        </w:tc>
        <w:tc>
          <w:tcPr>
            <w:tcW w:w="851"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1 431,9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2 147,9</w:t>
            </w:r>
          </w:p>
        </w:tc>
      </w:tr>
      <w:tr w:rsidR="0024289E" w:rsidRPr="0024289E" w:rsidTr="006F57D7">
        <w:trPr>
          <w:trHeight w:val="300"/>
        </w:trPr>
        <w:tc>
          <w:tcPr>
            <w:tcW w:w="1707" w:type="dxa"/>
            <w:tcBorders>
              <w:top w:val="nil"/>
              <w:left w:val="single" w:sz="4" w:space="0" w:color="auto"/>
              <w:bottom w:val="single" w:sz="12" w:space="0" w:color="auto"/>
              <w:right w:val="single" w:sz="4" w:space="0" w:color="auto"/>
            </w:tcBorders>
            <w:shd w:val="clear" w:color="auto" w:fill="FFFFFF" w:themeFill="background1"/>
            <w:noWrap/>
            <w:vAlign w:val="center"/>
            <w:hideMark/>
          </w:tcPr>
          <w:p w:rsidR="00FC1E7A" w:rsidRPr="006F57D7" w:rsidRDefault="00FC1E7A" w:rsidP="00FC1E7A">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Senior 65+, sleva 75 %</w:t>
            </w:r>
          </w:p>
        </w:tc>
        <w:tc>
          <w:tcPr>
            <w:tcW w:w="850" w:type="dxa"/>
            <w:tcBorders>
              <w:top w:val="nil"/>
              <w:left w:val="nil"/>
              <w:bottom w:val="single" w:sz="12"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1 292,5</w:t>
            </w:r>
          </w:p>
        </w:tc>
        <w:tc>
          <w:tcPr>
            <w:tcW w:w="850" w:type="dxa"/>
            <w:tcBorders>
              <w:top w:val="nil"/>
              <w:left w:val="nil"/>
              <w:bottom w:val="single" w:sz="12"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nil"/>
              <w:left w:val="nil"/>
              <w:bottom w:val="single" w:sz="12"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861,6</w:t>
            </w:r>
          </w:p>
        </w:tc>
        <w:tc>
          <w:tcPr>
            <w:tcW w:w="850"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430,8</w:t>
            </w:r>
          </w:p>
        </w:tc>
        <w:tc>
          <w:tcPr>
            <w:tcW w:w="850" w:type="dxa"/>
            <w:tcBorders>
              <w:top w:val="nil"/>
              <w:left w:val="nil"/>
              <w:bottom w:val="single" w:sz="12"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430,8</w:t>
            </w:r>
          </w:p>
        </w:tc>
        <w:tc>
          <w:tcPr>
            <w:tcW w:w="851"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861,6</w:t>
            </w:r>
          </w:p>
        </w:tc>
        <w:tc>
          <w:tcPr>
            <w:tcW w:w="850" w:type="dxa"/>
            <w:tcBorders>
              <w:top w:val="single" w:sz="4" w:space="0" w:color="auto"/>
              <w:left w:val="nil"/>
              <w:bottom w:val="single" w:sz="12" w:space="0" w:color="auto"/>
              <w:right w:val="single" w:sz="4" w:space="0" w:color="auto"/>
            </w:tcBorders>
            <w:shd w:val="clear" w:color="auto" w:fill="FFFFFF" w:themeFill="background1"/>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4" w:space="0" w:color="auto"/>
              <w:left w:val="nil"/>
              <w:bottom w:val="single" w:sz="12" w:space="0" w:color="auto"/>
              <w:right w:val="single" w:sz="4" w:space="0" w:color="auto"/>
            </w:tcBorders>
            <w:shd w:val="clear" w:color="auto" w:fill="E2EFD9" w:themeFill="accent6" w:themeFillTint="33"/>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1 292,5</w:t>
            </w:r>
          </w:p>
        </w:tc>
      </w:tr>
      <w:tr w:rsidR="0024289E" w:rsidRPr="0024289E" w:rsidTr="006F57D7">
        <w:trPr>
          <w:trHeight w:val="300"/>
        </w:trPr>
        <w:tc>
          <w:tcPr>
            <w:tcW w:w="1707"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rsidR="00FC1E7A" w:rsidRPr="006F57D7" w:rsidRDefault="00FC1E7A" w:rsidP="00FC1E7A">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Celkem</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5 646,1</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0,0</w:t>
            </w:r>
          </w:p>
        </w:tc>
        <w:tc>
          <w:tcPr>
            <w:tcW w:w="851" w:type="dxa"/>
            <w:tcBorders>
              <w:top w:val="single" w:sz="12" w:space="0" w:color="auto"/>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3 764,1</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1 882,0</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1 882,0</w:t>
            </w:r>
          </w:p>
        </w:tc>
        <w:tc>
          <w:tcPr>
            <w:tcW w:w="851"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3 764,1</w:t>
            </w:r>
          </w:p>
        </w:tc>
        <w:tc>
          <w:tcPr>
            <w:tcW w:w="850" w:type="dxa"/>
            <w:tcBorders>
              <w:top w:val="single" w:sz="12" w:space="0" w:color="auto"/>
              <w:left w:val="nil"/>
              <w:bottom w:val="single" w:sz="4" w:space="0" w:color="auto"/>
              <w:right w:val="single" w:sz="4" w:space="0" w:color="auto"/>
            </w:tcBorders>
            <w:shd w:val="clear" w:color="auto" w:fill="FFFFFF" w:themeFill="background1"/>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0,0</w:t>
            </w:r>
          </w:p>
        </w:tc>
        <w:tc>
          <w:tcPr>
            <w:tcW w:w="851" w:type="dxa"/>
            <w:tcBorders>
              <w:top w:val="single" w:sz="12" w:space="0" w:color="auto"/>
              <w:left w:val="nil"/>
              <w:bottom w:val="single" w:sz="4" w:space="0" w:color="auto"/>
              <w:right w:val="single" w:sz="12" w:space="0" w:color="auto"/>
            </w:tcBorders>
            <w:shd w:val="clear" w:color="auto" w:fill="E2EFD9" w:themeFill="accent6" w:themeFillTint="33"/>
            <w:vAlign w:val="center"/>
          </w:tcPr>
          <w:p w:rsidR="00FC1E7A" w:rsidRPr="006F57D7" w:rsidRDefault="00FC1E7A" w:rsidP="00FC1E7A">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5 646,1</w:t>
            </w:r>
          </w:p>
        </w:tc>
      </w:tr>
      <w:tr w:rsidR="0024289E" w:rsidRPr="0024289E" w:rsidTr="006F57D7">
        <w:trPr>
          <w:trHeight w:val="300"/>
        </w:trPr>
        <w:tc>
          <w:tcPr>
            <w:tcW w:w="1707"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center"/>
            <w:hideMark/>
          </w:tcPr>
          <w:p w:rsidR="00FC1E7A" w:rsidRPr="006F57D7" w:rsidRDefault="00FC1E7A" w:rsidP="00FC1E7A">
            <w:pPr>
              <w:spacing w:after="120" w:line="240" w:lineRule="auto"/>
              <w:rPr>
                <w:rFonts w:ascii="Arial" w:eastAsia="Times New Roman" w:hAnsi="Arial" w:cs="Arial"/>
                <w:b/>
                <w:sz w:val="18"/>
                <w:szCs w:val="18"/>
                <w:lang w:eastAsia="cs-CZ"/>
              </w:rPr>
            </w:pPr>
            <w:r w:rsidRPr="006F57D7">
              <w:rPr>
                <w:rFonts w:ascii="Arial" w:eastAsia="Times New Roman" w:hAnsi="Arial" w:cs="Arial"/>
                <w:b/>
                <w:sz w:val="18"/>
                <w:szCs w:val="18"/>
                <w:lang w:eastAsia="cs-CZ"/>
              </w:rPr>
              <w:t>Celkem vč. "tradičních" slev</w:t>
            </w:r>
          </w:p>
        </w:tc>
        <w:tc>
          <w:tcPr>
            <w:tcW w:w="850" w:type="dxa"/>
            <w:tcBorders>
              <w:top w:val="single" w:sz="4" w:space="0" w:color="auto"/>
              <w:left w:val="nil"/>
              <w:bottom w:val="single" w:sz="12"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5 789,9</w:t>
            </w:r>
          </w:p>
        </w:tc>
        <w:tc>
          <w:tcPr>
            <w:tcW w:w="850"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0,0</w:t>
            </w:r>
          </w:p>
        </w:tc>
        <w:tc>
          <w:tcPr>
            <w:tcW w:w="851" w:type="dxa"/>
            <w:tcBorders>
              <w:top w:val="single" w:sz="4" w:space="0" w:color="auto"/>
              <w:left w:val="nil"/>
              <w:bottom w:val="single" w:sz="12"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3 907,9</w:t>
            </w:r>
          </w:p>
        </w:tc>
        <w:tc>
          <w:tcPr>
            <w:tcW w:w="850"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1 882,0</w:t>
            </w:r>
          </w:p>
        </w:tc>
        <w:tc>
          <w:tcPr>
            <w:tcW w:w="850" w:type="dxa"/>
            <w:tcBorders>
              <w:top w:val="single" w:sz="4" w:space="0" w:color="auto"/>
              <w:left w:val="nil"/>
              <w:bottom w:val="single" w:sz="12" w:space="0" w:color="auto"/>
              <w:right w:val="single" w:sz="4" w:space="0" w:color="auto"/>
            </w:tcBorders>
            <w:shd w:val="clear" w:color="auto" w:fill="FFFFFF" w:themeFill="background1"/>
            <w:noWrap/>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2 025,8</w:t>
            </w:r>
          </w:p>
        </w:tc>
        <w:tc>
          <w:tcPr>
            <w:tcW w:w="851"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3 764,1</w:t>
            </w:r>
          </w:p>
        </w:tc>
        <w:tc>
          <w:tcPr>
            <w:tcW w:w="850" w:type="dxa"/>
            <w:tcBorders>
              <w:top w:val="single" w:sz="4" w:space="0" w:color="auto"/>
              <w:left w:val="nil"/>
              <w:bottom w:val="single" w:sz="12" w:space="0" w:color="auto"/>
              <w:right w:val="single" w:sz="4" w:space="0" w:color="auto"/>
            </w:tcBorders>
            <w:shd w:val="clear" w:color="auto" w:fill="FFFFFF" w:themeFill="background1"/>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143,8</w:t>
            </w:r>
          </w:p>
        </w:tc>
        <w:tc>
          <w:tcPr>
            <w:tcW w:w="851" w:type="dxa"/>
            <w:tcBorders>
              <w:top w:val="single" w:sz="4" w:space="0" w:color="auto"/>
              <w:left w:val="nil"/>
              <w:bottom w:val="single" w:sz="12" w:space="0" w:color="auto"/>
              <w:right w:val="single" w:sz="12" w:space="0" w:color="auto"/>
            </w:tcBorders>
            <w:shd w:val="clear" w:color="auto" w:fill="E2EFD9" w:themeFill="accent6" w:themeFillTint="33"/>
            <w:vAlign w:val="center"/>
          </w:tcPr>
          <w:p w:rsidR="00FC1E7A" w:rsidRPr="006F57D7" w:rsidRDefault="00FC1E7A" w:rsidP="00FC1E7A">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5 646,1</w:t>
            </w:r>
          </w:p>
        </w:tc>
      </w:tr>
    </w:tbl>
    <w:p w:rsidR="00DC58F9" w:rsidRPr="006F57D7" w:rsidRDefault="00DC58F9" w:rsidP="00306691">
      <w:pPr>
        <w:pStyle w:val="Odstavecseseznamem"/>
        <w:numPr>
          <w:ilvl w:val="0"/>
          <w:numId w:val="10"/>
        </w:numPr>
        <w:spacing w:before="120" w:after="120" w:line="240" w:lineRule="auto"/>
        <w:ind w:left="567" w:hanging="567"/>
        <w:contextualSpacing w:val="0"/>
        <w:jc w:val="both"/>
        <w:rPr>
          <w:rFonts w:ascii="Arial" w:hAnsi="Arial" w:cs="Arial"/>
        </w:rPr>
      </w:pPr>
      <w:r w:rsidRPr="006F57D7">
        <w:rPr>
          <w:rFonts w:ascii="Arial" w:hAnsi="Arial" w:cs="Arial"/>
        </w:rPr>
        <w:t>V případě modelu B lze hrubě odhadovat dopady pro státní rozpočet následující:</w:t>
      </w:r>
    </w:p>
    <w:p w:rsidR="00DC58F9" w:rsidRPr="006F57D7" w:rsidRDefault="00DC58F9" w:rsidP="006F57D7">
      <w:pPr>
        <w:spacing w:after="120" w:line="240" w:lineRule="auto"/>
        <w:ind w:left="567"/>
        <w:jc w:val="both"/>
        <w:rPr>
          <w:rFonts w:ascii="Arial" w:hAnsi="Arial" w:cs="Arial"/>
          <w:b/>
          <w:color w:val="002060"/>
          <w:sz w:val="18"/>
          <w:szCs w:val="18"/>
        </w:rPr>
      </w:pPr>
      <w:r w:rsidRPr="006F57D7">
        <w:rPr>
          <w:rFonts w:ascii="Arial" w:hAnsi="Arial" w:cs="Arial"/>
          <w:b/>
          <w:color w:val="002060"/>
          <w:sz w:val="18"/>
          <w:szCs w:val="18"/>
        </w:rPr>
        <w:t>Tab. 5: Úspora podle nové výše slevy v případě modelu B</w:t>
      </w:r>
    </w:p>
    <w:tbl>
      <w:tblPr>
        <w:tblW w:w="8510" w:type="dxa"/>
        <w:tblInd w:w="552" w:type="dxa"/>
        <w:shd w:val="clear" w:color="000000" w:fill="auto"/>
        <w:tblLayout w:type="fixed"/>
        <w:tblCellMar>
          <w:left w:w="70" w:type="dxa"/>
          <w:right w:w="70" w:type="dxa"/>
        </w:tblCellMar>
        <w:tblLook w:val="04A0" w:firstRow="1" w:lastRow="0" w:firstColumn="1" w:lastColumn="0" w:noHBand="0" w:noVBand="1"/>
      </w:tblPr>
      <w:tblGrid>
        <w:gridCol w:w="1707"/>
        <w:gridCol w:w="850"/>
        <w:gridCol w:w="850"/>
        <w:gridCol w:w="851"/>
        <w:gridCol w:w="850"/>
        <w:gridCol w:w="850"/>
        <w:gridCol w:w="851"/>
        <w:gridCol w:w="850"/>
        <w:gridCol w:w="851"/>
      </w:tblGrid>
      <w:tr w:rsidR="00DC58F9" w:rsidRPr="006F57D7" w:rsidTr="006F57D7">
        <w:trPr>
          <w:trHeight w:val="300"/>
        </w:trPr>
        <w:tc>
          <w:tcPr>
            <w:tcW w:w="1707" w:type="dxa"/>
            <w:tcBorders>
              <w:top w:val="single" w:sz="12" w:space="0" w:color="auto"/>
              <w:left w:val="single" w:sz="12" w:space="0" w:color="auto"/>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rPr>
                <w:rFonts w:ascii="Arial" w:eastAsia="Times New Roman" w:hAnsi="Arial" w:cs="Arial"/>
                <w:i/>
                <w:iCs/>
                <w:color w:val="000000"/>
                <w:sz w:val="18"/>
                <w:szCs w:val="18"/>
                <w:lang w:eastAsia="cs-CZ"/>
              </w:rPr>
            </w:pPr>
            <w:r w:rsidRPr="006F57D7">
              <w:rPr>
                <w:rFonts w:ascii="Arial" w:eastAsia="Times New Roman" w:hAnsi="Arial" w:cs="Arial"/>
                <w:i/>
                <w:iCs/>
                <w:color w:val="000000"/>
                <w:sz w:val="18"/>
                <w:szCs w:val="18"/>
                <w:lang w:eastAsia="cs-CZ"/>
              </w:rPr>
              <w:t>v mil. Kč</w:t>
            </w:r>
          </w:p>
        </w:tc>
        <w:tc>
          <w:tcPr>
            <w:tcW w:w="1700" w:type="dxa"/>
            <w:gridSpan w:val="2"/>
            <w:tcBorders>
              <w:top w:val="single" w:sz="12" w:space="0" w:color="auto"/>
              <w:left w:val="nil"/>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75 % (platné)</w:t>
            </w:r>
          </w:p>
        </w:tc>
        <w:tc>
          <w:tcPr>
            <w:tcW w:w="1701" w:type="dxa"/>
            <w:gridSpan w:val="2"/>
            <w:tcBorders>
              <w:top w:val="single" w:sz="12" w:space="0" w:color="auto"/>
              <w:left w:val="nil"/>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snížení na 50 %</w:t>
            </w:r>
          </w:p>
        </w:tc>
        <w:tc>
          <w:tcPr>
            <w:tcW w:w="1701" w:type="dxa"/>
            <w:gridSpan w:val="2"/>
            <w:tcBorders>
              <w:top w:val="single" w:sz="12" w:space="0" w:color="auto"/>
              <w:left w:val="nil"/>
              <w:bottom w:val="single" w:sz="4"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snížení na 25 %</w:t>
            </w:r>
          </w:p>
        </w:tc>
        <w:tc>
          <w:tcPr>
            <w:tcW w:w="1701" w:type="dxa"/>
            <w:gridSpan w:val="2"/>
            <w:tcBorders>
              <w:top w:val="single" w:sz="12" w:space="0" w:color="auto"/>
              <w:left w:val="nil"/>
              <w:bottom w:val="single" w:sz="4" w:space="0" w:color="auto"/>
              <w:right w:val="single" w:sz="12" w:space="0" w:color="auto"/>
            </w:tcBorders>
            <w:shd w:val="clear" w:color="000000" w:fill="FFF2CC" w:themeFill="accent4" w:themeFillTint="33"/>
            <w:vAlign w:val="center"/>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zrušení slevy</w:t>
            </w:r>
          </w:p>
        </w:tc>
      </w:tr>
      <w:tr w:rsidR="00DC58F9" w:rsidRPr="006F57D7" w:rsidTr="006F57D7">
        <w:trPr>
          <w:trHeight w:val="300"/>
        </w:trPr>
        <w:tc>
          <w:tcPr>
            <w:tcW w:w="1707" w:type="dxa"/>
            <w:tcBorders>
              <w:top w:val="nil"/>
              <w:left w:val="single" w:sz="12" w:space="0" w:color="auto"/>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rPr>
                <w:rFonts w:ascii="Arial" w:eastAsia="Times New Roman" w:hAnsi="Arial" w:cs="Arial"/>
                <w:b/>
                <w:bCs/>
                <w:color w:val="000000"/>
                <w:sz w:val="18"/>
                <w:szCs w:val="18"/>
                <w:lang w:eastAsia="cs-CZ"/>
              </w:rPr>
            </w:pPr>
            <w:r w:rsidRPr="006F57D7">
              <w:rPr>
                <w:rFonts w:ascii="Arial" w:eastAsia="Times New Roman" w:hAnsi="Arial" w:cs="Arial"/>
                <w:b/>
                <w:bCs/>
                <w:color w:val="000000"/>
                <w:sz w:val="18"/>
                <w:szCs w:val="18"/>
                <w:lang w:eastAsia="cs-CZ"/>
              </w:rPr>
              <w:t>Slevové kategorie</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c>
          <w:tcPr>
            <w:tcW w:w="851"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c>
          <w:tcPr>
            <w:tcW w:w="850"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1" w:type="dxa"/>
            <w:tcBorders>
              <w:top w:val="nil"/>
              <w:left w:val="nil"/>
              <w:bottom w:val="single" w:sz="12" w:space="0" w:color="auto"/>
              <w:right w:val="single" w:sz="4" w:space="0" w:color="auto"/>
            </w:tcBorders>
            <w:shd w:val="clear" w:color="000000" w:fill="FFF2CC" w:themeFill="accent4" w:themeFillTint="33"/>
            <w:noWrap/>
            <w:vAlign w:val="center"/>
            <w:hideMark/>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c>
          <w:tcPr>
            <w:tcW w:w="850" w:type="dxa"/>
            <w:tcBorders>
              <w:top w:val="nil"/>
              <w:left w:val="nil"/>
              <w:bottom w:val="single" w:sz="12" w:space="0" w:color="auto"/>
              <w:right w:val="single" w:sz="4" w:space="0" w:color="auto"/>
            </w:tcBorders>
            <w:shd w:val="clear" w:color="000000" w:fill="FFF2CC" w:themeFill="accent4" w:themeFillTint="33"/>
            <w:vAlign w:val="center"/>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výdaj</w:t>
            </w:r>
          </w:p>
        </w:tc>
        <w:tc>
          <w:tcPr>
            <w:tcW w:w="851" w:type="dxa"/>
            <w:tcBorders>
              <w:top w:val="nil"/>
              <w:left w:val="nil"/>
              <w:bottom w:val="single" w:sz="12" w:space="0" w:color="auto"/>
              <w:right w:val="single" w:sz="12" w:space="0" w:color="auto"/>
            </w:tcBorders>
            <w:shd w:val="clear" w:color="000000" w:fill="FFF2CC" w:themeFill="accent4" w:themeFillTint="33"/>
            <w:vAlign w:val="center"/>
          </w:tcPr>
          <w:p w:rsidR="00DC58F9" w:rsidRPr="006F57D7" w:rsidRDefault="00DC58F9" w:rsidP="00306691">
            <w:pPr>
              <w:spacing w:after="120" w:line="240" w:lineRule="auto"/>
              <w:jc w:val="center"/>
              <w:rPr>
                <w:rFonts w:ascii="Arial" w:eastAsia="Times New Roman" w:hAnsi="Arial" w:cs="Arial"/>
                <w:color w:val="000000"/>
                <w:sz w:val="18"/>
                <w:szCs w:val="18"/>
                <w:lang w:eastAsia="cs-CZ"/>
              </w:rPr>
            </w:pPr>
            <w:r w:rsidRPr="006F57D7">
              <w:rPr>
                <w:rFonts w:ascii="Arial" w:eastAsia="Times New Roman" w:hAnsi="Arial" w:cs="Arial"/>
                <w:color w:val="000000"/>
                <w:sz w:val="18"/>
                <w:szCs w:val="18"/>
                <w:lang w:eastAsia="cs-CZ"/>
              </w:rPr>
              <w:t>úspora</w:t>
            </w:r>
          </w:p>
        </w:tc>
      </w:tr>
      <w:tr w:rsidR="009C068F" w:rsidRPr="006F57D7" w:rsidTr="006F57D7">
        <w:trPr>
          <w:trHeight w:val="300"/>
        </w:trPr>
        <w:tc>
          <w:tcPr>
            <w:tcW w:w="1707"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rsidR="009C068F" w:rsidRPr="006F57D7" w:rsidRDefault="009C068F" w:rsidP="009C068F">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Dítě/žák, sleva 75 %</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1 261,2</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12" w:space="0" w:color="auto"/>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840,8</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420,4</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420,4</w:t>
            </w:r>
          </w:p>
        </w:tc>
        <w:tc>
          <w:tcPr>
            <w:tcW w:w="851"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840,8</w:t>
            </w:r>
          </w:p>
        </w:tc>
        <w:tc>
          <w:tcPr>
            <w:tcW w:w="850" w:type="dxa"/>
            <w:tcBorders>
              <w:top w:val="single" w:sz="12" w:space="0" w:color="auto"/>
              <w:left w:val="nil"/>
              <w:bottom w:val="single" w:sz="4" w:space="0" w:color="auto"/>
              <w:right w:val="single" w:sz="4" w:space="0" w:color="auto"/>
            </w:tcBorders>
            <w:shd w:val="clear" w:color="auto" w:fill="FFFFFF" w:themeFill="background1"/>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12" w:space="0" w:color="auto"/>
              <w:left w:val="nil"/>
              <w:bottom w:val="single" w:sz="4" w:space="0" w:color="auto"/>
              <w:right w:val="single" w:sz="4" w:space="0" w:color="auto"/>
            </w:tcBorders>
            <w:shd w:val="clear" w:color="auto" w:fill="E2EFD9" w:themeFill="accent6" w:themeFillTint="33"/>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1 261,2</w:t>
            </w:r>
          </w:p>
        </w:tc>
      </w:tr>
      <w:tr w:rsidR="009C068F" w:rsidRPr="006F57D7" w:rsidTr="006F57D7">
        <w:trPr>
          <w:trHeight w:val="300"/>
        </w:trPr>
        <w:tc>
          <w:tcPr>
            <w:tcW w:w="170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C068F" w:rsidRPr="006F57D7" w:rsidRDefault="009C068F" w:rsidP="009C068F">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Student, sleva 75 %</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1 386,5</w:t>
            </w:r>
          </w:p>
        </w:tc>
        <w:tc>
          <w:tcPr>
            <w:tcW w:w="850" w:type="dxa"/>
            <w:tcBorders>
              <w:top w:val="nil"/>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924,3</w:t>
            </w:r>
          </w:p>
        </w:tc>
        <w:tc>
          <w:tcPr>
            <w:tcW w:w="8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462,2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462,2</w:t>
            </w:r>
          </w:p>
        </w:tc>
        <w:tc>
          <w:tcPr>
            <w:tcW w:w="851"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924,3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1 386,5</w:t>
            </w:r>
          </w:p>
        </w:tc>
      </w:tr>
      <w:tr w:rsidR="009C068F" w:rsidRPr="006F57D7" w:rsidTr="006F57D7">
        <w:trPr>
          <w:trHeight w:val="300"/>
        </w:trPr>
        <w:tc>
          <w:tcPr>
            <w:tcW w:w="1707" w:type="dxa"/>
            <w:tcBorders>
              <w:top w:val="nil"/>
              <w:left w:val="single" w:sz="4" w:space="0" w:color="auto"/>
              <w:bottom w:val="single" w:sz="12" w:space="0" w:color="auto"/>
              <w:right w:val="single" w:sz="4" w:space="0" w:color="auto"/>
            </w:tcBorders>
            <w:shd w:val="clear" w:color="auto" w:fill="FFFFFF" w:themeFill="background1"/>
            <w:noWrap/>
            <w:vAlign w:val="center"/>
            <w:hideMark/>
          </w:tcPr>
          <w:p w:rsidR="009C068F" w:rsidRPr="006F57D7" w:rsidRDefault="009C068F" w:rsidP="009C068F">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Senior 65+, sleva 75 %</w:t>
            </w:r>
          </w:p>
        </w:tc>
        <w:tc>
          <w:tcPr>
            <w:tcW w:w="850" w:type="dxa"/>
            <w:tcBorders>
              <w:top w:val="nil"/>
              <w:left w:val="nil"/>
              <w:bottom w:val="single" w:sz="12"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747,1</w:t>
            </w:r>
          </w:p>
        </w:tc>
        <w:tc>
          <w:tcPr>
            <w:tcW w:w="850" w:type="dxa"/>
            <w:tcBorders>
              <w:top w:val="nil"/>
              <w:left w:val="nil"/>
              <w:bottom w:val="single" w:sz="12"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nil"/>
              <w:left w:val="nil"/>
              <w:bottom w:val="single" w:sz="12"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498,1</w:t>
            </w:r>
          </w:p>
        </w:tc>
        <w:tc>
          <w:tcPr>
            <w:tcW w:w="850"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249,0</w:t>
            </w:r>
          </w:p>
        </w:tc>
        <w:tc>
          <w:tcPr>
            <w:tcW w:w="850" w:type="dxa"/>
            <w:tcBorders>
              <w:top w:val="nil"/>
              <w:left w:val="nil"/>
              <w:bottom w:val="single" w:sz="12"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249,0</w:t>
            </w:r>
          </w:p>
        </w:tc>
        <w:tc>
          <w:tcPr>
            <w:tcW w:w="851"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498,1</w:t>
            </w:r>
          </w:p>
        </w:tc>
        <w:tc>
          <w:tcPr>
            <w:tcW w:w="850" w:type="dxa"/>
            <w:tcBorders>
              <w:top w:val="single" w:sz="4" w:space="0" w:color="auto"/>
              <w:left w:val="nil"/>
              <w:bottom w:val="single" w:sz="12" w:space="0" w:color="auto"/>
              <w:right w:val="single" w:sz="4" w:space="0" w:color="auto"/>
            </w:tcBorders>
            <w:shd w:val="clear" w:color="auto" w:fill="FFFFFF" w:themeFill="background1"/>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0,0</w:t>
            </w:r>
          </w:p>
        </w:tc>
        <w:tc>
          <w:tcPr>
            <w:tcW w:w="851" w:type="dxa"/>
            <w:tcBorders>
              <w:top w:val="single" w:sz="4" w:space="0" w:color="auto"/>
              <w:left w:val="nil"/>
              <w:bottom w:val="single" w:sz="12" w:space="0" w:color="auto"/>
              <w:right w:val="single" w:sz="4" w:space="0" w:color="auto"/>
            </w:tcBorders>
            <w:shd w:val="clear" w:color="auto" w:fill="E2EFD9" w:themeFill="accent6" w:themeFillTint="33"/>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747,1</w:t>
            </w:r>
          </w:p>
        </w:tc>
      </w:tr>
      <w:tr w:rsidR="009C068F" w:rsidRPr="006F57D7" w:rsidTr="006F57D7">
        <w:trPr>
          <w:trHeight w:val="300"/>
        </w:trPr>
        <w:tc>
          <w:tcPr>
            <w:tcW w:w="1707"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rsidR="009C068F" w:rsidRPr="006F57D7" w:rsidRDefault="009C068F" w:rsidP="009C068F">
            <w:pPr>
              <w:spacing w:after="120" w:line="240" w:lineRule="auto"/>
              <w:rPr>
                <w:rFonts w:ascii="Arial" w:eastAsia="Times New Roman" w:hAnsi="Arial" w:cs="Arial"/>
                <w:sz w:val="18"/>
                <w:szCs w:val="18"/>
                <w:lang w:eastAsia="cs-CZ"/>
              </w:rPr>
            </w:pPr>
            <w:r w:rsidRPr="006F57D7">
              <w:rPr>
                <w:rFonts w:ascii="Arial" w:eastAsia="Times New Roman" w:hAnsi="Arial" w:cs="Arial"/>
                <w:sz w:val="18"/>
                <w:szCs w:val="18"/>
                <w:lang w:eastAsia="cs-CZ"/>
              </w:rPr>
              <w:t>Celkem</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sz w:val="18"/>
                <w:szCs w:val="18"/>
              </w:rPr>
              <w:t>3 394,8</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0,0</w:t>
            </w:r>
          </w:p>
        </w:tc>
        <w:tc>
          <w:tcPr>
            <w:tcW w:w="851" w:type="dxa"/>
            <w:tcBorders>
              <w:top w:val="single" w:sz="12" w:space="0" w:color="auto"/>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2 263,2</w:t>
            </w:r>
          </w:p>
        </w:tc>
        <w:tc>
          <w:tcPr>
            <w:tcW w:w="850"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1 131,6</w:t>
            </w:r>
          </w:p>
        </w:tc>
        <w:tc>
          <w:tcPr>
            <w:tcW w:w="850" w:type="dxa"/>
            <w:tcBorders>
              <w:top w:val="single" w:sz="12" w:space="0" w:color="auto"/>
              <w:left w:val="nil"/>
              <w:bottom w:val="single" w:sz="4"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1 131,6</w:t>
            </w:r>
          </w:p>
        </w:tc>
        <w:tc>
          <w:tcPr>
            <w:tcW w:w="851"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2 263,2</w:t>
            </w:r>
          </w:p>
        </w:tc>
        <w:tc>
          <w:tcPr>
            <w:tcW w:w="850" w:type="dxa"/>
            <w:tcBorders>
              <w:top w:val="single" w:sz="12" w:space="0" w:color="auto"/>
              <w:left w:val="nil"/>
              <w:bottom w:val="single" w:sz="4" w:space="0" w:color="auto"/>
              <w:right w:val="single" w:sz="4" w:space="0" w:color="auto"/>
            </w:tcBorders>
            <w:shd w:val="clear" w:color="auto" w:fill="FFFFFF" w:themeFill="background1"/>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0,0</w:t>
            </w:r>
          </w:p>
        </w:tc>
        <w:tc>
          <w:tcPr>
            <w:tcW w:w="851" w:type="dxa"/>
            <w:tcBorders>
              <w:top w:val="single" w:sz="12" w:space="0" w:color="auto"/>
              <w:left w:val="nil"/>
              <w:bottom w:val="single" w:sz="4" w:space="0" w:color="auto"/>
              <w:right w:val="single" w:sz="12" w:space="0" w:color="auto"/>
            </w:tcBorders>
            <w:shd w:val="clear" w:color="auto" w:fill="E2EFD9" w:themeFill="accent6" w:themeFillTint="33"/>
            <w:vAlign w:val="center"/>
          </w:tcPr>
          <w:p w:rsidR="009C068F" w:rsidRPr="006F57D7" w:rsidRDefault="009C068F" w:rsidP="009C068F">
            <w:pPr>
              <w:spacing w:after="120" w:line="240" w:lineRule="auto"/>
              <w:jc w:val="center"/>
              <w:rPr>
                <w:rFonts w:ascii="Arial" w:eastAsia="Times New Roman" w:hAnsi="Arial" w:cs="Arial"/>
                <w:sz w:val="18"/>
                <w:szCs w:val="18"/>
                <w:lang w:eastAsia="cs-CZ"/>
              </w:rPr>
            </w:pPr>
            <w:r w:rsidRPr="006F57D7">
              <w:rPr>
                <w:rFonts w:ascii="Arial" w:hAnsi="Arial" w:cs="Arial"/>
                <w:b/>
                <w:bCs/>
                <w:sz w:val="18"/>
                <w:szCs w:val="18"/>
              </w:rPr>
              <w:t>3 394,8</w:t>
            </w:r>
          </w:p>
        </w:tc>
      </w:tr>
      <w:tr w:rsidR="009C068F" w:rsidRPr="006F57D7" w:rsidTr="006F57D7">
        <w:trPr>
          <w:trHeight w:val="300"/>
        </w:trPr>
        <w:tc>
          <w:tcPr>
            <w:tcW w:w="1707"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center"/>
            <w:hideMark/>
          </w:tcPr>
          <w:p w:rsidR="009C068F" w:rsidRPr="006F57D7" w:rsidRDefault="009C068F" w:rsidP="009C068F">
            <w:pPr>
              <w:spacing w:after="120" w:line="240" w:lineRule="auto"/>
              <w:rPr>
                <w:rFonts w:ascii="Arial" w:eastAsia="Times New Roman" w:hAnsi="Arial" w:cs="Arial"/>
                <w:b/>
                <w:sz w:val="18"/>
                <w:szCs w:val="18"/>
                <w:lang w:eastAsia="cs-CZ"/>
              </w:rPr>
            </w:pPr>
            <w:r w:rsidRPr="006F57D7">
              <w:rPr>
                <w:rFonts w:ascii="Arial" w:eastAsia="Times New Roman" w:hAnsi="Arial" w:cs="Arial"/>
                <w:b/>
                <w:sz w:val="18"/>
                <w:szCs w:val="18"/>
                <w:lang w:eastAsia="cs-CZ"/>
              </w:rPr>
              <w:t>Celkem vč. "tradičních" slev</w:t>
            </w:r>
          </w:p>
        </w:tc>
        <w:tc>
          <w:tcPr>
            <w:tcW w:w="850" w:type="dxa"/>
            <w:tcBorders>
              <w:top w:val="single" w:sz="4" w:space="0" w:color="auto"/>
              <w:left w:val="nil"/>
              <w:bottom w:val="single" w:sz="12"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3 476,9</w:t>
            </w:r>
          </w:p>
        </w:tc>
        <w:tc>
          <w:tcPr>
            <w:tcW w:w="850"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0,0</w:t>
            </w:r>
          </w:p>
        </w:tc>
        <w:tc>
          <w:tcPr>
            <w:tcW w:w="851" w:type="dxa"/>
            <w:tcBorders>
              <w:top w:val="single" w:sz="4" w:space="0" w:color="auto"/>
              <w:left w:val="nil"/>
              <w:bottom w:val="single" w:sz="12"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2 345,3</w:t>
            </w:r>
          </w:p>
        </w:tc>
        <w:tc>
          <w:tcPr>
            <w:tcW w:w="850"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1 131,6</w:t>
            </w:r>
          </w:p>
        </w:tc>
        <w:tc>
          <w:tcPr>
            <w:tcW w:w="850" w:type="dxa"/>
            <w:tcBorders>
              <w:top w:val="single" w:sz="4" w:space="0" w:color="auto"/>
              <w:left w:val="nil"/>
              <w:bottom w:val="single" w:sz="12" w:space="0" w:color="auto"/>
              <w:right w:val="single" w:sz="4" w:space="0" w:color="auto"/>
            </w:tcBorders>
            <w:shd w:val="clear" w:color="auto" w:fill="FFFFFF" w:themeFill="background1"/>
            <w:noWrap/>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1 213,7</w:t>
            </w:r>
          </w:p>
        </w:tc>
        <w:tc>
          <w:tcPr>
            <w:tcW w:w="851"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2 263,2</w:t>
            </w:r>
          </w:p>
        </w:tc>
        <w:tc>
          <w:tcPr>
            <w:tcW w:w="850" w:type="dxa"/>
            <w:tcBorders>
              <w:top w:val="single" w:sz="4" w:space="0" w:color="auto"/>
              <w:left w:val="nil"/>
              <w:bottom w:val="single" w:sz="12" w:space="0" w:color="auto"/>
              <w:right w:val="single" w:sz="4" w:space="0" w:color="auto"/>
            </w:tcBorders>
            <w:shd w:val="clear" w:color="auto" w:fill="FFFFFF" w:themeFill="background1"/>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82,1</w:t>
            </w:r>
          </w:p>
        </w:tc>
        <w:tc>
          <w:tcPr>
            <w:tcW w:w="851" w:type="dxa"/>
            <w:tcBorders>
              <w:top w:val="single" w:sz="4" w:space="0" w:color="auto"/>
              <w:left w:val="nil"/>
              <w:bottom w:val="single" w:sz="12" w:space="0" w:color="auto"/>
              <w:right w:val="single" w:sz="12" w:space="0" w:color="auto"/>
            </w:tcBorders>
            <w:shd w:val="clear" w:color="auto" w:fill="E2EFD9" w:themeFill="accent6" w:themeFillTint="33"/>
            <w:vAlign w:val="center"/>
          </w:tcPr>
          <w:p w:rsidR="009C068F" w:rsidRPr="006F57D7" w:rsidRDefault="009C068F" w:rsidP="009C068F">
            <w:pPr>
              <w:spacing w:after="120" w:line="240" w:lineRule="auto"/>
              <w:jc w:val="center"/>
              <w:rPr>
                <w:rFonts w:ascii="Arial" w:eastAsia="Times New Roman" w:hAnsi="Arial" w:cs="Arial"/>
                <w:b/>
                <w:sz w:val="18"/>
                <w:szCs w:val="18"/>
                <w:lang w:eastAsia="cs-CZ"/>
              </w:rPr>
            </w:pPr>
            <w:r w:rsidRPr="006F57D7">
              <w:rPr>
                <w:rFonts w:ascii="Arial" w:hAnsi="Arial" w:cs="Arial"/>
                <w:b/>
                <w:bCs/>
                <w:sz w:val="18"/>
                <w:szCs w:val="18"/>
              </w:rPr>
              <w:t>3 394,8</w:t>
            </w:r>
          </w:p>
        </w:tc>
      </w:tr>
    </w:tbl>
    <w:p w:rsidR="00DC58F9" w:rsidRPr="006F57D7" w:rsidRDefault="000F7285" w:rsidP="00306691">
      <w:pPr>
        <w:pStyle w:val="Odstavecseseznamem"/>
        <w:numPr>
          <w:ilvl w:val="0"/>
          <w:numId w:val="10"/>
        </w:numPr>
        <w:spacing w:before="120" w:after="120" w:line="240" w:lineRule="auto"/>
        <w:ind w:left="567" w:hanging="567"/>
        <w:contextualSpacing w:val="0"/>
        <w:jc w:val="both"/>
        <w:rPr>
          <w:rFonts w:ascii="Arial" w:hAnsi="Arial" w:cs="Arial"/>
          <w:strike/>
          <w:color w:val="7030A0"/>
        </w:rPr>
      </w:pPr>
      <w:r w:rsidRPr="006F57D7">
        <w:rPr>
          <w:rFonts w:ascii="Arial" w:hAnsi="Arial" w:cs="Arial"/>
        </w:rPr>
        <w:t xml:space="preserve">V rámci uvedených tabulek </w:t>
      </w:r>
      <w:r w:rsidRPr="006F57D7">
        <w:rPr>
          <w:rFonts w:ascii="Arial" w:hAnsi="Arial" w:cs="Arial"/>
          <w:b/>
          <w:color w:val="002060"/>
        </w:rPr>
        <w:t>je tedy možné volit stavebnicovým způsobem vhodné řešení</w:t>
      </w:r>
      <w:r w:rsidRPr="006F57D7">
        <w:rPr>
          <w:rFonts w:ascii="Arial" w:hAnsi="Arial" w:cs="Arial"/>
        </w:rPr>
        <w:t>, například může být poskytnuta sleva 50 % všem dotčeným skupinám cestujících, nebo je možné volit například 50 % u dětí a studen</w:t>
      </w:r>
      <w:r w:rsidR="00C20FEB" w:rsidRPr="006F57D7">
        <w:rPr>
          <w:rFonts w:ascii="Arial" w:hAnsi="Arial" w:cs="Arial"/>
        </w:rPr>
        <w:t>tů, avšak pouze 25 % u seniorů.</w:t>
      </w:r>
    </w:p>
    <w:p w:rsidR="006F57D7" w:rsidRPr="006F57D7" w:rsidRDefault="006F57D7" w:rsidP="006F57D7">
      <w:pPr>
        <w:spacing w:before="120" w:after="120" w:line="240" w:lineRule="auto"/>
        <w:jc w:val="both"/>
        <w:rPr>
          <w:rFonts w:ascii="Arial" w:hAnsi="Arial" w:cs="Arial"/>
          <w:strike/>
          <w:color w:val="7030A0"/>
        </w:rPr>
      </w:pPr>
    </w:p>
    <w:p w:rsidR="000F7285" w:rsidRPr="006F57D7" w:rsidRDefault="003445EC" w:rsidP="00306691">
      <w:pPr>
        <w:tabs>
          <w:tab w:val="left" w:pos="567"/>
        </w:tabs>
        <w:spacing w:after="120" w:line="240" w:lineRule="auto"/>
        <w:jc w:val="both"/>
        <w:rPr>
          <w:rFonts w:ascii="Arial" w:hAnsi="Arial" w:cs="Arial"/>
          <w:b/>
          <w:color w:val="002060"/>
        </w:rPr>
      </w:pPr>
      <w:r w:rsidRPr="006F57D7">
        <w:rPr>
          <w:rFonts w:ascii="Arial" w:hAnsi="Arial" w:cs="Arial"/>
          <w:b/>
          <w:color w:val="002060"/>
        </w:rPr>
        <w:t>2.4</w:t>
      </w:r>
      <w:r w:rsidRPr="006F57D7">
        <w:rPr>
          <w:rFonts w:ascii="Arial" w:hAnsi="Arial" w:cs="Arial"/>
          <w:b/>
          <w:color w:val="002060"/>
        </w:rPr>
        <w:tab/>
      </w:r>
      <w:r w:rsidR="000F7285" w:rsidRPr="006F57D7">
        <w:rPr>
          <w:rFonts w:ascii="Arial" w:hAnsi="Arial" w:cs="Arial"/>
          <w:b/>
          <w:color w:val="002060"/>
        </w:rPr>
        <w:t>Sjednocení podmínek bezplatné přepravy dětí do 6 let</w:t>
      </w:r>
    </w:p>
    <w:p w:rsidR="001C625C" w:rsidRPr="006F57D7" w:rsidRDefault="000F7285" w:rsidP="00306691">
      <w:pPr>
        <w:pStyle w:val="Odstavecseseznamem"/>
        <w:numPr>
          <w:ilvl w:val="0"/>
          <w:numId w:val="10"/>
        </w:numPr>
        <w:spacing w:after="120" w:line="240" w:lineRule="auto"/>
        <w:ind w:left="567" w:hanging="567"/>
        <w:contextualSpacing w:val="0"/>
        <w:jc w:val="both"/>
        <w:rPr>
          <w:rFonts w:ascii="Arial" w:hAnsi="Arial" w:cs="Arial"/>
        </w:rPr>
      </w:pPr>
      <w:r w:rsidRPr="006F57D7">
        <w:rPr>
          <w:rFonts w:ascii="Arial" w:hAnsi="Arial" w:cs="Arial"/>
        </w:rPr>
        <w:t xml:space="preserve">Uvedené řešení úpravy slev se doporučuje doplnit sjednocením počtu dětí do 6 let, které může dospělá osoba přepravovat ve vozidle. Zatímco v drážní dopravě a v integrovaných dopravních systémech jsou to dvě děti, v autobusové dopravě je to jedno dítě. </w:t>
      </w:r>
    </w:p>
    <w:p w:rsidR="006F57D7" w:rsidRDefault="000F7285" w:rsidP="00306691">
      <w:pPr>
        <w:pStyle w:val="Odstavecseseznamem"/>
        <w:numPr>
          <w:ilvl w:val="0"/>
          <w:numId w:val="10"/>
        </w:numPr>
        <w:spacing w:after="120" w:line="240" w:lineRule="auto"/>
        <w:ind w:left="567" w:hanging="567"/>
        <w:contextualSpacing w:val="0"/>
        <w:jc w:val="both"/>
        <w:rPr>
          <w:rFonts w:ascii="Arial" w:hAnsi="Arial" w:cs="Arial"/>
        </w:rPr>
      </w:pPr>
      <w:r w:rsidRPr="006F57D7">
        <w:rPr>
          <w:rFonts w:ascii="Arial" w:hAnsi="Arial" w:cs="Arial"/>
        </w:rPr>
        <w:t>Podle dat poskytnutých dopravcem České dráhy, a.s. byl v roce 2019 poměr počtu jízdních dokladů s jedním bezplatným dítětem do 6 let ve srovnání s dvěma bezplatně přepravovanými dětmi do 6 let celkem 9:1.</w:t>
      </w:r>
      <w:r w:rsidR="001C625C" w:rsidRPr="006F57D7">
        <w:rPr>
          <w:rFonts w:ascii="Arial" w:hAnsi="Arial" w:cs="Arial"/>
        </w:rPr>
        <w:t xml:space="preserve"> </w:t>
      </w:r>
      <w:r w:rsidRPr="006F57D7">
        <w:rPr>
          <w:rFonts w:ascii="Arial" w:hAnsi="Arial" w:cs="Arial"/>
        </w:rPr>
        <w:t>Proto lze odhadnout, že pokud by byl sjednocen strop směrem dolů (ve</w:t>
      </w:r>
      <w:r w:rsidR="00B36090" w:rsidRPr="006F57D7">
        <w:rPr>
          <w:rFonts w:ascii="Arial" w:hAnsi="Arial" w:cs="Arial"/>
        </w:rPr>
        <w:t> </w:t>
      </w:r>
      <w:r w:rsidRPr="006F57D7">
        <w:rPr>
          <w:rFonts w:ascii="Arial" w:hAnsi="Arial" w:cs="Arial"/>
        </w:rPr>
        <w:t>všech oborech dopravy pouze 1 bezplatně přepravované dítě do 6 let), byla by úspora prostředků Ministerstva dopravy v řádu jednotek milionů Kč (odhadujeme jí asi na 1,0 – 4,3 mil. Kč ročně) podle toho, jakou míru slevy by ve vlacích a v IDS platilo druhé přepravované dítě.</w:t>
      </w:r>
      <w:r w:rsidR="001C625C" w:rsidRPr="006F57D7">
        <w:rPr>
          <w:rFonts w:ascii="Arial" w:hAnsi="Arial" w:cs="Arial"/>
        </w:rPr>
        <w:t xml:space="preserve"> </w:t>
      </w:r>
      <w:r w:rsidR="009E04C6" w:rsidRPr="006F57D7">
        <w:rPr>
          <w:rFonts w:ascii="Arial" w:hAnsi="Arial" w:cs="Arial"/>
        </w:rPr>
        <w:t>Naopak, pokud bude</w:t>
      </w:r>
      <w:r w:rsidRPr="006F57D7">
        <w:rPr>
          <w:rFonts w:ascii="Arial" w:hAnsi="Arial" w:cs="Arial"/>
        </w:rPr>
        <w:t xml:space="preserve"> sjednocena přeprava dvou dětí </w:t>
      </w:r>
      <w:r w:rsidR="009E04C6" w:rsidRPr="006F57D7">
        <w:rPr>
          <w:rFonts w:ascii="Arial" w:hAnsi="Arial" w:cs="Arial"/>
        </w:rPr>
        <w:t xml:space="preserve">zdarma, </w:t>
      </w:r>
      <w:r w:rsidRPr="006F57D7">
        <w:rPr>
          <w:rFonts w:ascii="Arial" w:hAnsi="Arial" w:cs="Arial"/>
        </w:rPr>
        <w:t>v </w:t>
      </w:r>
      <w:r w:rsidRPr="006F57D7">
        <w:rPr>
          <w:rFonts w:ascii="Arial" w:hAnsi="Arial" w:cs="Arial"/>
          <w:i/>
        </w:rPr>
        <w:t>Open Access</w:t>
      </w:r>
      <w:r w:rsidRPr="006F57D7">
        <w:rPr>
          <w:rFonts w:ascii="Arial" w:hAnsi="Arial" w:cs="Arial"/>
        </w:rPr>
        <w:t xml:space="preserve"> autobusové dopravě </w:t>
      </w:r>
      <w:r w:rsidR="009E04C6" w:rsidRPr="006F57D7">
        <w:rPr>
          <w:rFonts w:ascii="Arial" w:hAnsi="Arial" w:cs="Arial"/>
        </w:rPr>
        <w:t xml:space="preserve">(komerční autobusové linky) </w:t>
      </w:r>
      <w:r w:rsidRPr="006F57D7">
        <w:rPr>
          <w:rFonts w:ascii="Arial" w:hAnsi="Arial" w:cs="Arial"/>
        </w:rPr>
        <w:t xml:space="preserve">by mělo určité rozpočtové dopady pro MD, neboť druhé dítě by neplatilo ani v autobuse, pokud by s ním cestoval pouze jeden dospělý rodič. Tyto výdaje se odhadují na 0,8 až 3,6 mil. Kč a jsou tedy ve srovnání s hlavní řešenou otázkou </w:t>
      </w:r>
      <w:r w:rsidR="009E04C6" w:rsidRPr="006F57D7">
        <w:rPr>
          <w:rFonts w:ascii="Arial" w:hAnsi="Arial" w:cs="Arial"/>
        </w:rPr>
        <w:t>řádově nižší. Představovaly by přesto určité zvýhodnění pro rodiny s více dětmi a zejména zpřehlednění a zjednodušení celého systému veřejné dopravy pro rodinné cestování.</w:t>
      </w:r>
    </w:p>
    <w:p w:rsidR="006F57D7" w:rsidRDefault="006F57D7" w:rsidP="006F57D7">
      <w:pPr>
        <w:spacing w:after="120" w:line="240" w:lineRule="auto"/>
        <w:jc w:val="both"/>
        <w:rPr>
          <w:rFonts w:ascii="Arial" w:hAnsi="Arial" w:cs="Arial"/>
        </w:rPr>
      </w:pPr>
    </w:p>
    <w:p w:rsidR="006F57D7" w:rsidRPr="00D905A8" w:rsidRDefault="006F57D7" w:rsidP="006F57D7">
      <w:pPr>
        <w:tabs>
          <w:tab w:val="left" w:pos="567"/>
        </w:tabs>
        <w:spacing w:after="120" w:line="240" w:lineRule="auto"/>
        <w:jc w:val="both"/>
        <w:rPr>
          <w:rFonts w:ascii="Arial" w:hAnsi="Arial" w:cs="Arial"/>
          <w:b/>
        </w:rPr>
      </w:pPr>
      <w:r w:rsidRPr="00D905A8">
        <w:rPr>
          <w:rFonts w:ascii="Arial" w:hAnsi="Arial" w:cs="Arial"/>
          <w:b/>
          <w:color w:val="002060"/>
        </w:rPr>
        <w:t>2.5</w:t>
      </w:r>
      <w:r w:rsidRPr="006F57D7">
        <w:rPr>
          <w:rFonts w:ascii="Arial" w:hAnsi="Arial" w:cs="Arial"/>
          <w:b/>
          <w:color w:val="C00000"/>
        </w:rPr>
        <w:tab/>
      </w:r>
      <w:r w:rsidRPr="00D905A8">
        <w:rPr>
          <w:rFonts w:ascii="Arial" w:hAnsi="Arial" w:cs="Arial"/>
          <w:b/>
          <w:color w:val="002060"/>
        </w:rPr>
        <w:t>Problematika slevy z jízdného pro invalidní důchodce</w:t>
      </w:r>
    </w:p>
    <w:p w:rsidR="006F57D7" w:rsidRPr="00D905A8" w:rsidRDefault="006F57D7" w:rsidP="006F57D7">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Po zavedení 75 % slev z jízdného pro seniory starší 65 let v září 2018 vyvstala otázka, zda by invali</w:t>
      </w:r>
      <w:r w:rsidR="00CE0D53" w:rsidRPr="00D905A8">
        <w:rPr>
          <w:rFonts w:ascii="Arial" w:hAnsi="Arial" w:cs="Arial"/>
        </w:rPr>
        <w:t>dní důchodci s</w:t>
      </w:r>
      <w:r w:rsidRPr="00D905A8">
        <w:rPr>
          <w:rFonts w:ascii="Arial" w:hAnsi="Arial" w:cs="Arial"/>
        </w:rPr>
        <w:t xml:space="preserve"> invaliditou III. stupně měli mít rovněž nárok na státem stanovenou slevu. </w:t>
      </w:r>
      <w:r w:rsidR="00CE0D53" w:rsidRPr="00D905A8">
        <w:rPr>
          <w:rFonts w:ascii="Arial" w:hAnsi="Arial" w:cs="Arial"/>
        </w:rPr>
        <w:t>V současné době je poskytována sleva pro seniory, ta je nicméně poskytována čistě na základě věku cestujícího</w:t>
      </w:r>
      <w:r w:rsidR="00CE0D53" w:rsidRPr="00D905A8">
        <w:rPr>
          <w:rStyle w:val="Znakapoznpodarou"/>
          <w:rFonts w:ascii="Arial" w:hAnsi="Arial" w:cs="Arial"/>
        </w:rPr>
        <w:footnoteReference w:id="12"/>
      </w:r>
      <w:r w:rsidR="00CE0D53" w:rsidRPr="00D905A8">
        <w:rPr>
          <w:rFonts w:ascii="Arial" w:hAnsi="Arial" w:cs="Arial"/>
        </w:rPr>
        <w:t>, a sleva vázaná na průkaz zvláště tělesně postižené osoby (ZTP, popřípadě ZTP-P). Tento průkaz nesouvisí se stupněm přiznané invalidity, obecně bývá uváděno, že zatímco invalidita je přiznávána na základě omezení v oblasti uplatnění na trhu práce, průkaz ZTP popř. ZTP-P je vydáván na základě tělesného nebo smyslového postižení, které bezprostředně ovlivňuje pohyb nebo orientaci osoby v prostoru.</w:t>
      </w:r>
    </w:p>
    <w:p w:rsidR="00CE0D53" w:rsidRPr="00D905A8" w:rsidRDefault="00CE0D53" w:rsidP="006F57D7">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Uvedené dva po</w:t>
      </w:r>
      <w:r w:rsidR="005600CB" w:rsidRPr="00D905A8">
        <w:rPr>
          <w:rFonts w:ascii="Arial" w:hAnsi="Arial" w:cs="Arial"/>
        </w:rPr>
        <w:t>stupy jsou v kompetenci M</w:t>
      </w:r>
      <w:r w:rsidRPr="00D905A8">
        <w:rPr>
          <w:rFonts w:ascii="Arial" w:hAnsi="Arial" w:cs="Arial"/>
        </w:rPr>
        <w:t xml:space="preserve">inisterstva práce a sociálních věcí a je otázkou, zda bude v budoucím období zájem postupy spojené s přiznáním invalidního důchodu III. stupně a přiznáním průkazu zdravotně postižené osoby určitým způsobem </w:t>
      </w:r>
      <w:r w:rsidR="00ED25E5" w:rsidRPr="00D905A8">
        <w:rPr>
          <w:rFonts w:ascii="Arial" w:hAnsi="Arial" w:cs="Arial"/>
        </w:rPr>
        <w:t xml:space="preserve">koncepčně </w:t>
      </w:r>
      <w:r w:rsidRPr="00D905A8">
        <w:rPr>
          <w:rFonts w:ascii="Arial" w:hAnsi="Arial" w:cs="Arial"/>
        </w:rPr>
        <w:t>sblížit. Taková skutečnost by mohla být posouzena ze strany tohoto úřadu (viz závěr tohoto materiálu), nicméně v současné době není vhodné provádět změnu bez bližšího posouzení, a to za dvou základních důvodů, a těmi je existence průkazu a unijní rozměr celé problematiky</w:t>
      </w:r>
      <w:r w:rsidR="00EF4261" w:rsidRPr="00D905A8">
        <w:rPr>
          <w:rFonts w:ascii="Arial" w:hAnsi="Arial" w:cs="Arial"/>
        </w:rPr>
        <w:t xml:space="preserve"> (rovný přístup k občanům všech unijních států)</w:t>
      </w:r>
      <w:r w:rsidRPr="00D905A8">
        <w:rPr>
          <w:rFonts w:ascii="Arial" w:hAnsi="Arial" w:cs="Arial"/>
        </w:rPr>
        <w:t>.</w:t>
      </w:r>
    </w:p>
    <w:p w:rsidR="00EF4261" w:rsidRPr="00D905A8" w:rsidRDefault="00EF4261" w:rsidP="00EF4261">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 xml:space="preserve">Identifikaci nároku cestujícího na slevu je možné provést jedině na základě jednotného vzoru průkazu, který by byl vydávaný centrálně (jednou institucí). Jednotný průkaz je naprosto nezbytný, neboť pracovník dopravce musí být schopen </w:t>
      </w:r>
      <w:r w:rsidRPr="00D905A8">
        <w:rPr>
          <w:rFonts w:ascii="Arial" w:hAnsi="Arial" w:cs="Arial"/>
          <w:i/>
        </w:rPr>
        <w:t>jednoznačně a rychle</w:t>
      </w:r>
      <w:r w:rsidRPr="00D905A8">
        <w:rPr>
          <w:rFonts w:ascii="Arial" w:hAnsi="Arial" w:cs="Arial"/>
        </w:rPr>
        <w:t xml:space="preserve"> provést kontrolu nároku. </w:t>
      </w:r>
      <w:r w:rsidRPr="00D905A8">
        <w:rPr>
          <w:rFonts w:ascii="Arial" w:hAnsi="Arial" w:cs="Arial"/>
          <w:i/>
        </w:rPr>
        <w:t>Jednoznačně</w:t>
      </w:r>
      <w:r w:rsidRPr="00D905A8">
        <w:rPr>
          <w:rFonts w:ascii="Arial" w:hAnsi="Arial" w:cs="Arial"/>
        </w:rPr>
        <w:t xml:space="preserve"> proto, aby nemohlo dojít k přiznání slevy cestujícímu, který na ni nemá nárok, nebo naopak nepřiznání slevy tomu, kdo na ni nárok má. </w:t>
      </w:r>
      <w:r w:rsidRPr="00D905A8">
        <w:rPr>
          <w:rFonts w:ascii="Arial" w:hAnsi="Arial" w:cs="Arial"/>
          <w:i/>
        </w:rPr>
        <w:t>Rychle</w:t>
      </w:r>
      <w:r w:rsidRPr="00D905A8">
        <w:rPr>
          <w:rFonts w:ascii="Arial" w:hAnsi="Arial" w:cs="Arial"/>
        </w:rPr>
        <w:t xml:space="preserve"> proto, že pracovníka dopravce nesmí odbavení cestujících nepřiměřeně zdržet – což platí zejména pro řidiče autobusů, kdy zdržení v kontrole nároků na slevu znamená zpoždění spoje. Takový průkaz v současné době není k dispozici a jeho zavedení (vedle či namísto průkazu ZTP) by bylo nutné koncepčně vyřešit.</w:t>
      </w:r>
    </w:p>
    <w:p w:rsidR="006F57D7" w:rsidRPr="00D905A8" w:rsidRDefault="00EF4261" w:rsidP="00EF4261">
      <w:pPr>
        <w:pStyle w:val="Odstavecseseznamem"/>
        <w:numPr>
          <w:ilvl w:val="0"/>
          <w:numId w:val="10"/>
        </w:numPr>
        <w:spacing w:after="120" w:line="240" w:lineRule="auto"/>
        <w:ind w:left="567" w:hanging="567"/>
        <w:contextualSpacing w:val="0"/>
        <w:jc w:val="both"/>
        <w:rPr>
          <w:rFonts w:ascii="Arial" w:hAnsi="Arial" w:cs="Arial"/>
          <w:b/>
        </w:rPr>
      </w:pPr>
      <w:r w:rsidRPr="00D905A8">
        <w:rPr>
          <w:rFonts w:ascii="Arial" w:hAnsi="Arial" w:cs="Arial"/>
        </w:rPr>
        <w:t>Ještě závažnější je však unijní prohled na celou problematiku. U</w:t>
      </w:r>
      <w:r w:rsidR="00ED25E5" w:rsidRPr="00D905A8">
        <w:rPr>
          <w:rFonts w:ascii="Arial" w:hAnsi="Arial" w:cs="Arial"/>
        </w:rPr>
        <w:t> </w:t>
      </w:r>
      <w:r w:rsidRPr="00D905A8">
        <w:rPr>
          <w:rFonts w:ascii="Arial" w:hAnsi="Arial" w:cs="Arial"/>
        </w:rPr>
        <w:t>nově</w:t>
      </w:r>
      <w:r w:rsidR="005600CB" w:rsidRPr="00D905A8">
        <w:rPr>
          <w:rFonts w:ascii="Arial" w:hAnsi="Arial" w:cs="Arial"/>
        </w:rPr>
        <w:t xml:space="preserve"> koncepčně zaváděných slev </w:t>
      </w:r>
      <w:r w:rsidRPr="00D905A8">
        <w:rPr>
          <w:rFonts w:ascii="Arial" w:hAnsi="Arial" w:cs="Arial"/>
        </w:rPr>
        <w:t>s</w:t>
      </w:r>
      <w:r w:rsidR="006F57D7" w:rsidRPr="00D905A8">
        <w:rPr>
          <w:rFonts w:ascii="Arial" w:hAnsi="Arial" w:cs="Arial"/>
        </w:rPr>
        <w:t> ohledem na naše z</w:t>
      </w:r>
      <w:r w:rsidRPr="00D905A8">
        <w:rPr>
          <w:rFonts w:ascii="Arial" w:hAnsi="Arial" w:cs="Arial"/>
        </w:rPr>
        <w:t>ávazky vyplývající z členství České republiky v Evropské unii</w:t>
      </w:r>
      <w:r w:rsidR="006F57D7" w:rsidRPr="00D905A8">
        <w:rPr>
          <w:rFonts w:ascii="Arial" w:hAnsi="Arial" w:cs="Arial"/>
        </w:rPr>
        <w:t>, respe</w:t>
      </w:r>
      <w:r w:rsidRPr="00D905A8">
        <w:rPr>
          <w:rFonts w:ascii="Arial" w:hAnsi="Arial" w:cs="Arial"/>
        </w:rPr>
        <w:t>ktive potřeby řídit se unijním právem</w:t>
      </w:r>
      <w:r w:rsidR="006F57D7" w:rsidRPr="00D905A8">
        <w:rPr>
          <w:rFonts w:ascii="Arial" w:hAnsi="Arial" w:cs="Arial"/>
        </w:rPr>
        <w:t xml:space="preserve">, </w:t>
      </w:r>
      <w:r w:rsidR="006F57D7" w:rsidRPr="00D905A8">
        <w:rPr>
          <w:rFonts w:ascii="Arial" w:hAnsi="Arial" w:cs="Arial"/>
          <w:b/>
          <w:color w:val="002060"/>
        </w:rPr>
        <w:t>není možné poskytování sle</w:t>
      </w:r>
      <w:r w:rsidRPr="00D905A8">
        <w:rPr>
          <w:rFonts w:ascii="Arial" w:hAnsi="Arial" w:cs="Arial"/>
          <w:b/>
          <w:color w:val="002060"/>
        </w:rPr>
        <w:t xml:space="preserve">v z jízdného </w:t>
      </w:r>
      <w:r w:rsidR="00ED25E5" w:rsidRPr="00D905A8">
        <w:rPr>
          <w:rFonts w:ascii="Arial" w:hAnsi="Arial" w:cs="Arial"/>
          <w:b/>
          <w:color w:val="002060"/>
        </w:rPr>
        <w:t xml:space="preserve">koncepčně </w:t>
      </w:r>
      <w:r w:rsidRPr="00D905A8">
        <w:rPr>
          <w:rFonts w:ascii="Arial" w:hAnsi="Arial" w:cs="Arial"/>
          <w:b/>
          <w:color w:val="002060"/>
        </w:rPr>
        <w:t>omezit na občany České republiky</w:t>
      </w:r>
      <w:r w:rsidR="006F57D7" w:rsidRPr="00D905A8">
        <w:rPr>
          <w:rFonts w:ascii="Arial" w:hAnsi="Arial" w:cs="Arial"/>
          <w:color w:val="002060"/>
        </w:rPr>
        <w:t xml:space="preserve">. </w:t>
      </w:r>
      <w:r w:rsidR="006F57D7" w:rsidRPr="00D905A8">
        <w:rPr>
          <w:rFonts w:ascii="Arial" w:hAnsi="Arial" w:cs="Arial"/>
        </w:rPr>
        <w:t xml:space="preserve">Tento fakt muselo Ministerstvo dopravy s Ministerstvem financí zohlednit už </w:t>
      </w:r>
      <w:r w:rsidRPr="00D905A8">
        <w:rPr>
          <w:rFonts w:ascii="Arial" w:hAnsi="Arial" w:cs="Arial"/>
        </w:rPr>
        <w:t xml:space="preserve">při vymezení požadavků </w:t>
      </w:r>
      <w:r w:rsidR="006F57D7" w:rsidRPr="00D905A8">
        <w:rPr>
          <w:rFonts w:ascii="Arial" w:hAnsi="Arial" w:cs="Arial"/>
        </w:rPr>
        <w:t>na prokázání nároku na</w:t>
      </w:r>
      <w:r w:rsidRPr="00D905A8">
        <w:rPr>
          <w:rFonts w:ascii="Arial" w:hAnsi="Arial" w:cs="Arial"/>
        </w:rPr>
        <w:t> </w:t>
      </w:r>
      <w:r w:rsidR="006F57D7" w:rsidRPr="00D905A8">
        <w:rPr>
          <w:rFonts w:ascii="Arial" w:hAnsi="Arial" w:cs="Arial"/>
        </w:rPr>
        <w:t>slevy z jízdného zaváděn</w:t>
      </w:r>
      <w:r w:rsidRPr="00D905A8">
        <w:rPr>
          <w:rFonts w:ascii="Arial" w:hAnsi="Arial" w:cs="Arial"/>
        </w:rPr>
        <w:t>é od 1. září 2018</w:t>
      </w:r>
      <w:r w:rsidR="005600CB" w:rsidRPr="00D905A8">
        <w:rPr>
          <w:rFonts w:ascii="Arial" w:hAnsi="Arial" w:cs="Arial"/>
        </w:rPr>
        <w:t>, kdy</w:t>
      </w:r>
      <w:r w:rsidRPr="00D905A8">
        <w:rPr>
          <w:rFonts w:ascii="Arial" w:hAnsi="Arial" w:cs="Arial"/>
        </w:rPr>
        <w:t xml:space="preserve"> bylo potřebné</w:t>
      </w:r>
      <w:r w:rsidR="006F57D7" w:rsidRPr="00D905A8">
        <w:rPr>
          <w:rFonts w:ascii="Arial" w:hAnsi="Arial" w:cs="Arial"/>
        </w:rPr>
        <w:t xml:space="preserve"> respektovat, že k nim musí mít nedisk</w:t>
      </w:r>
      <w:r w:rsidRPr="00D905A8">
        <w:rPr>
          <w:rFonts w:ascii="Arial" w:hAnsi="Arial" w:cs="Arial"/>
        </w:rPr>
        <w:t xml:space="preserve">riminačním způsobem přístup </w:t>
      </w:r>
      <w:r w:rsidR="006F57D7" w:rsidRPr="00D905A8">
        <w:rPr>
          <w:rFonts w:ascii="Arial" w:hAnsi="Arial" w:cs="Arial"/>
        </w:rPr>
        <w:t xml:space="preserve">občané </w:t>
      </w:r>
      <w:r w:rsidRPr="00D905A8">
        <w:rPr>
          <w:rFonts w:ascii="Arial" w:hAnsi="Arial" w:cs="Arial"/>
        </w:rPr>
        <w:t xml:space="preserve">všech </w:t>
      </w:r>
      <w:r w:rsidR="006F57D7" w:rsidRPr="00D905A8">
        <w:rPr>
          <w:rFonts w:ascii="Arial" w:hAnsi="Arial" w:cs="Arial"/>
        </w:rPr>
        <w:t>členských států Evropské unie či ekonomicky přidružených zemí. Proto byly stanoveny ty nejjednodušší, nejobecnější a nejdostupnější způsoby prokázání nároku na slevu – u</w:t>
      </w:r>
      <w:r w:rsidR="00ED25E5" w:rsidRPr="00D905A8">
        <w:rPr>
          <w:rFonts w:ascii="Arial" w:hAnsi="Arial" w:cs="Arial"/>
        </w:rPr>
        <w:t> </w:t>
      </w:r>
      <w:r w:rsidR="006F57D7" w:rsidRPr="00D905A8">
        <w:rPr>
          <w:rFonts w:ascii="Arial" w:hAnsi="Arial" w:cs="Arial"/>
        </w:rPr>
        <w:t>dětí 6-18 let a u</w:t>
      </w:r>
      <w:r w:rsidRPr="00D905A8">
        <w:rPr>
          <w:rFonts w:ascii="Arial" w:hAnsi="Arial" w:cs="Arial"/>
        </w:rPr>
        <w:t> </w:t>
      </w:r>
      <w:r w:rsidR="006F57D7" w:rsidRPr="00D905A8">
        <w:rPr>
          <w:rFonts w:ascii="Arial" w:hAnsi="Arial" w:cs="Arial"/>
        </w:rPr>
        <w:t xml:space="preserve">seniorů, kdy je sleva přiznávána čistě na základě věku cestujícího, se jedná o úředně vydaný doklad totožnosti, čili typicky občanský průkaz nebo cestovní pas. Pro studenty pak primárně mezinárodní studentský průkaz ISIC, který vydávají školy celosvětově (což je zásadní např. i v případě českých či evropských studentů studujících ve školách mimo EU). </w:t>
      </w:r>
      <w:r w:rsidR="006F57D7" w:rsidRPr="00D905A8">
        <w:rPr>
          <w:rFonts w:ascii="Arial" w:hAnsi="Arial" w:cs="Arial"/>
          <w:b/>
          <w:color w:val="002060"/>
        </w:rPr>
        <w:t>Ve věci případných slev pro invalidní důchodce</w:t>
      </w:r>
      <w:r w:rsidR="005600CB" w:rsidRPr="00D905A8">
        <w:rPr>
          <w:rFonts w:ascii="Arial" w:hAnsi="Arial" w:cs="Arial"/>
          <w:b/>
          <w:color w:val="002060"/>
        </w:rPr>
        <w:t xml:space="preserve"> III. stupně</w:t>
      </w:r>
      <w:r w:rsidR="006F57D7" w:rsidRPr="00D905A8">
        <w:rPr>
          <w:rFonts w:ascii="Arial" w:hAnsi="Arial" w:cs="Arial"/>
          <w:b/>
          <w:color w:val="002060"/>
        </w:rPr>
        <w:t xml:space="preserve"> je tedy klíčové, zda mohou čeští dopravci, stejně jako české úřady, </w:t>
      </w:r>
      <w:r w:rsidRPr="00D905A8">
        <w:rPr>
          <w:rFonts w:ascii="Arial" w:hAnsi="Arial" w:cs="Arial"/>
          <w:b/>
          <w:color w:val="002060"/>
        </w:rPr>
        <w:t xml:space="preserve">jednoznačně </w:t>
      </w:r>
      <w:r w:rsidR="00ED25E5" w:rsidRPr="00D905A8">
        <w:rPr>
          <w:rFonts w:ascii="Arial" w:hAnsi="Arial" w:cs="Arial"/>
          <w:b/>
          <w:color w:val="002060"/>
        </w:rPr>
        <w:t xml:space="preserve">a rychle </w:t>
      </w:r>
      <w:r w:rsidR="006F57D7" w:rsidRPr="00D905A8">
        <w:rPr>
          <w:rFonts w:ascii="Arial" w:hAnsi="Arial" w:cs="Arial"/>
          <w:b/>
          <w:color w:val="002060"/>
        </w:rPr>
        <w:t>ověřit, zda osoby žádající o</w:t>
      </w:r>
      <w:r w:rsidRPr="00D905A8">
        <w:rPr>
          <w:rFonts w:ascii="Arial" w:hAnsi="Arial" w:cs="Arial"/>
          <w:b/>
          <w:color w:val="002060"/>
        </w:rPr>
        <w:t> </w:t>
      </w:r>
      <w:r w:rsidR="006F57D7" w:rsidRPr="00D905A8">
        <w:rPr>
          <w:rFonts w:ascii="Arial" w:hAnsi="Arial" w:cs="Arial"/>
          <w:b/>
          <w:color w:val="002060"/>
        </w:rPr>
        <w:t>tuto slevu, které přijdou z jiných států Evropské unie či ekonomicky přidružených zemí</w:t>
      </w:r>
      <w:r w:rsidR="00ED25E5" w:rsidRPr="00D905A8">
        <w:rPr>
          <w:rFonts w:ascii="Arial" w:hAnsi="Arial" w:cs="Arial"/>
          <w:b/>
          <w:color w:val="002060"/>
        </w:rPr>
        <w:t>,</w:t>
      </w:r>
      <w:r w:rsidR="006F57D7" w:rsidRPr="00D905A8">
        <w:rPr>
          <w:rFonts w:ascii="Arial" w:hAnsi="Arial" w:cs="Arial"/>
          <w:b/>
          <w:color w:val="002060"/>
        </w:rPr>
        <w:t xml:space="preserve"> pobírají sociální dávku obdobnou našemu invalidnímu důchodu pro invaliditu III. stupně</w:t>
      </w:r>
      <w:r w:rsidRPr="00D905A8">
        <w:rPr>
          <w:rFonts w:ascii="Arial" w:hAnsi="Arial" w:cs="Arial"/>
          <w:b/>
          <w:color w:val="002060"/>
        </w:rPr>
        <w:t>.</w:t>
      </w:r>
    </w:p>
    <w:p w:rsidR="006F57D7" w:rsidRPr="00D905A8" w:rsidRDefault="006F57D7" w:rsidP="00EF4261">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Podstatné je</w:t>
      </w:r>
      <w:r w:rsidR="00EF4261" w:rsidRPr="00D905A8">
        <w:rPr>
          <w:rFonts w:ascii="Arial" w:hAnsi="Arial" w:cs="Arial"/>
        </w:rPr>
        <w:t xml:space="preserve"> tedy</w:t>
      </w:r>
      <w:r w:rsidRPr="00D905A8">
        <w:rPr>
          <w:rFonts w:ascii="Arial" w:hAnsi="Arial" w:cs="Arial"/>
        </w:rPr>
        <w:t>, n</w:t>
      </w:r>
      <w:r w:rsidR="00EF4261" w:rsidRPr="00D905A8">
        <w:rPr>
          <w:rFonts w:ascii="Arial" w:hAnsi="Arial" w:cs="Arial"/>
        </w:rPr>
        <w:t>a základě jakého podkladu by měl být</w:t>
      </w:r>
      <w:r w:rsidRPr="00D905A8">
        <w:rPr>
          <w:rFonts w:ascii="Arial" w:hAnsi="Arial" w:cs="Arial"/>
        </w:rPr>
        <w:t xml:space="preserve"> průkaz vydán. </w:t>
      </w:r>
      <w:r w:rsidR="00EF4261" w:rsidRPr="00D905A8">
        <w:rPr>
          <w:rFonts w:ascii="Arial" w:hAnsi="Arial" w:cs="Arial"/>
        </w:rPr>
        <w:t xml:space="preserve">U občanů České republiky by se patrně jednalo </w:t>
      </w:r>
      <w:r w:rsidRPr="00D905A8">
        <w:rPr>
          <w:rFonts w:ascii="Arial" w:hAnsi="Arial" w:cs="Arial"/>
        </w:rPr>
        <w:t>o důchodový výměr. U o</w:t>
      </w:r>
      <w:r w:rsidR="00EF4261" w:rsidRPr="00D905A8">
        <w:rPr>
          <w:rFonts w:ascii="Arial" w:hAnsi="Arial" w:cs="Arial"/>
        </w:rPr>
        <w:t xml:space="preserve">statních cestujících by pak musela být </w:t>
      </w:r>
      <w:r w:rsidRPr="00D905A8">
        <w:rPr>
          <w:rFonts w:ascii="Arial" w:hAnsi="Arial" w:cs="Arial"/>
        </w:rPr>
        <w:t xml:space="preserve">povinnost předložit místu vydávajícímu příslušný slevový průkaz úřední překlad listiny potvrzující pobírání dané sociální dávky v konkrétním státě. Každý stát má ale jiný sociální systém a jiné parametry udělování sociální podpory (důchodu). Neexistuje jednotný předpis, neexistuje jednotný název. </w:t>
      </w:r>
      <w:r w:rsidR="00EF4261" w:rsidRPr="00D905A8">
        <w:rPr>
          <w:rFonts w:ascii="Arial" w:hAnsi="Arial" w:cs="Arial"/>
        </w:rPr>
        <w:t>Je tedy nejasné, zda se m</w:t>
      </w:r>
      <w:r w:rsidRPr="00D905A8">
        <w:rPr>
          <w:rFonts w:ascii="Arial" w:hAnsi="Arial" w:cs="Arial"/>
        </w:rPr>
        <w:t>á se nárok posuzovat podle o</w:t>
      </w:r>
      <w:r w:rsidR="00EF4261" w:rsidRPr="00D905A8">
        <w:rPr>
          <w:rFonts w:ascii="Arial" w:hAnsi="Arial" w:cs="Arial"/>
        </w:rPr>
        <w:t>bsahu listiny a k</w:t>
      </w:r>
      <w:r w:rsidRPr="00D905A8">
        <w:rPr>
          <w:rFonts w:ascii="Arial" w:hAnsi="Arial" w:cs="Arial"/>
        </w:rPr>
        <w:t xml:space="preserve">do dokáže </w:t>
      </w:r>
      <w:r w:rsidR="00EF4261" w:rsidRPr="00D905A8">
        <w:rPr>
          <w:rFonts w:ascii="Arial" w:hAnsi="Arial" w:cs="Arial"/>
        </w:rPr>
        <w:t xml:space="preserve">jednoduše a rychle </w:t>
      </w:r>
      <w:r w:rsidRPr="00D905A8">
        <w:rPr>
          <w:rFonts w:ascii="Arial" w:hAnsi="Arial" w:cs="Arial"/>
        </w:rPr>
        <w:t>rozhodnout, že se jedná o obdobný benefit, jako je náš „invalidní důchod“ (a to ve III. stupni)</w:t>
      </w:r>
      <w:r w:rsidR="00EF4261" w:rsidRPr="00D905A8">
        <w:rPr>
          <w:rFonts w:ascii="Arial" w:hAnsi="Arial" w:cs="Arial"/>
        </w:rPr>
        <w:t>.</w:t>
      </w:r>
      <w:r w:rsidRPr="00D905A8">
        <w:rPr>
          <w:rFonts w:ascii="Arial" w:hAnsi="Arial" w:cs="Arial"/>
        </w:rPr>
        <w:t xml:space="preserve"> Pokud toto nedokážeme jednoznačně vymezit, nelze relevantně rozhodnout, zda cestující nárok na slevu má. Nelze se smířit s tím, že uznáme </w:t>
      </w:r>
      <w:r w:rsidR="00EF4261" w:rsidRPr="00D905A8">
        <w:rPr>
          <w:rFonts w:ascii="Arial" w:hAnsi="Arial" w:cs="Arial"/>
        </w:rPr>
        <w:t xml:space="preserve">jakýkoli doklad </w:t>
      </w:r>
      <w:r w:rsidRPr="00D905A8">
        <w:rPr>
          <w:rFonts w:ascii="Arial" w:hAnsi="Arial" w:cs="Arial"/>
        </w:rPr>
        <w:t>s razítkem a slevu dostane úplně každý,</w:t>
      </w:r>
      <w:r w:rsidR="00ED25E5" w:rsidRPr="00D905A8">
        <w:rPr>
          <w:rFonts w:ascii="Arial" w:hAnsi="Arial" w:cs="Arial"/>
        </w:rPr>
        <w:t xml:space="preserve"> kdo bude tvrdit, že </w:t>
      </w:r>
      <w:r w:rsidR="00ED25E5" w:rsidRPr="00D905A8">
        <w:rPr>
          <w:rFonts w:ascii="Arial" w:hAnsi="Arial" w:cs="Arial"/>
          <w:b/>
          <w:color w:val="002060"/>
        </w:rPr>
        <w:t>tento doklad vymezuje</w:t>
      </w:r>
      <w:r w:rsidRPr="00D905A8">
        <w:rPr>
          <w:rFonts w:ascii="Arial" w:hAnsi="Arial" w:cs="Arial"/>
          <w:b/>
          <w:color w:val="002060"/>
        </w:rPr>
        <w:t xml:space="preserve"> nárok na dávku ekvivalentní českému invalidnímu důchodu při invaliditě III. stupně</w:t>
      </w:r>
      <w:r w:rsidR="00EF4261" w:rsidRPr="00D905A8">
        <w:rPr>
          <w:rStyle w:val="Znakapoznpodarou"/>
          <w:rFonts w:ascii="Arial" w:hAnsi="Arial" w:cs="Arial"/>
        </w:rPr>
        <w:footnoteReference w:id="13"/>
      </w:r>
      <w:r w:rsidRPr="00D905A8">
        <w:rPr>
          <w:rFonts w:ascii="Arial" w:hAnsi="Arial" w:cs="Arial"/>
        </w:rPr>
        <w:t>.</w:t>
      </w:r>
    </w:p>
    <w:p w:rsidR="006F57D7" w:rsidRPr="00D905A8" w:rsidRDefault="00EF4261" w:rsidP="00EF4261">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Závěrem je vhodné konstatovat, že část invalidních důchodců již nárok na slevu má, a to na základě věku (malá část z nich spadá do kategorie studentů, větší část pak do seniorů nad 65 let). Přesto však je nutné počítat s tím, že okruh cestujících s nárokem na slevu by se mohl významně rozšířit, což by znamenalo další výdaje státního rozpočtu. Jejich objem nelze přesněji kvantifikovat – neznáme počet takovýchto cestujících (lze zjistit za ČR, nikoliv však za ostatní státy) a jejich hybnost (resp. počet cest a jejich průměrnou přepravní vzdálenost).</w:t>
      </w:r>
    </w:p>
    <w:p w:rsidR="00ED25E5" w:rsidRPr="00D905A8" w:rsidRDefault="00ED25E5" w:rsidP="00ED25E5">
      <w:pPr>
        <w:spacing w:after="120" w:line="240" w:lineRule="auto"/>
        <w:jc w:val="both"/>
        <w:rPr>
          <w:rFonts w:ascii="Arial" w:hAnsi="Arial" w:cs="Arial"/>
        </w:rPr>
      </w:pPr>
    </w:p>
    <w:p w:rsidR="00ED25E5" w:rsidRPr="00D905A8" w:rsidRDefault="00ED25E5" w:rsidP="00ED25E5">
      <w:pPr>
        <w:spacing w:after="120" w:line="240" w:lineRule="auto"/>
        <w:ind w:left="567" w:hanging="567"/>
        <w:jc w:val="both"/>
        <w:rPr>
          <w:rFonts w:ascii="Arial" w:hAnsi="Arial" w:cs="Arial"/>
          <w:b/>
        </w:rPr>
      </w:pPr>
      <w:r w:rsidRPr="00D905A8">
        <w:rPr>
          <w:rFonts w:ascii="Arial" w:hAnsi="Arial" w:cs="Arial"/>
          <w:b/>
        </w:rPr>
        <w:t>2.6</w:t>
      </w:r>
      <w:r w:rsidRPr="00D905A8">
        <w:rPr>
          <w:rFonts w:ascii="Arial" w:hAnsi="Arial" w:cs="Arial"/>
          <w:b/>
        </w:rPr>
        <w:tab/>
      </w:r>
      <w:r w:rsidRPr="00D905A8">
        <w:rPr>
          <w:rFonts w:ascii="Arial" w:hAnsi="Arial" w:cs="Arial"/>
          <w:b/>
          <w:color w:val="002060"/>
        </w:rPr>
        <w:t>Mezinárodní srovnání</w:t>
      </w:r>
      <w:r w:rsidRPr="00D905A8">
        <w:rPr>
          <w:rFonts w:ascii="Arial" w:hAnsi="Arial" w:cs="Arial"/>
          <w:b/>
        </w:rPr>
        <w:tab/>
      </w:r>
    </w:p>
    <w:p w:rsidR="00ED25E5" w:rsidRPr="00D905A8" w:rsidRDefault="00821EAC" w:rsidP="00ED25E5">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V tomto bodě je třeba uvést, že v</w:t>
      </w:r>
      <w:r w:rsidR="00ED25E5" w:rsidRPr="00D905A8">
        <w:rPr>
          <w:rFonts w:ascii="Arial" w:hAnsi="Arial" w:cs="Arial"/>
        </w:rPr>
        <w:t xml:space="preserve">e věci státem stanovených slev není v současné době žádná přímá koordinace napříč evropskými státy. Jednotlivé státy řeší problematiku různě a </w:t>
      </w:r>
      <w:r w:rsidRPr="00D905A8">
        <w:rPr>
          <w:rFonts w:ascii="Arial" w:hAnsi="Arial" w:cs="Arial"/>
        </w:rPr>
        <w:t>velmi často bývá</w:t>
      </w:r>
      <w:r w:rsidR="00ED25E5" w:rsidRPr="00D905A8">
        <w:rPr>
          <w:rFonts w:ascii="Arial" w:hAnsi="Arial" w:cs="Arial"/>
        </w:rPr>
        <w:t xml:space="preserve"> stanovování slev</w:t>
      </w:r>
      <w:r w:rsidRPr="00D905A8">
        <w:rPr>
          <w:rFonts w:ascii="Arial" w:hAnsi="Arial" w:cs="Arial"/>
        </w:rPr>
        <w:t xml:space="preserve"> i</w:t>
      </w:r>
      <w:r w:rsidR="00ED25E5" w:rsidRPr="00D905A8">
        <w:rPr>
          <w:rFonts w:ascii="Arial" w:hAnsi="Arial" w:cs="Arial"/>
        </w:rPr>
        <w:t xml:space="preserve"> decentralizováno, tedy ponecháno na jednotlivých dopravcích, dopravních svazech či regionech.</w:t>
      </w:r>
      <w:r w:rsidR="001E7D81" w:rsidRPr="00D905A8">
        <w:rPr>
          <w:rFonts w:ascii="Arial" w:hAnsi="Arial" w:cs="Arial"/>
        </w:rPr>
        <w:t xml:space="preserve"> V zásadě je velmi obtížné zjistit, které slevy jsou nařizovány státem jako obecné pravidla, které stanoveny objednatelem v rámci smluv o veřejných službách a které jsou obchodním rozhodnutím dopravců s cílem optimalizovat tržní cenu jízdného pro specifické skupiny cestujících.</w:t>
      </w:r>
      <w:r w:rsidR="00ED25E5" w:rsidRPr="00D905A8">
        <w:rPr>
          <w:rFonts w:ascii="Arial" w:hAnsi="Arial" w:cs="Arial"/>
        </w:rPr>
        <w:t xml:space="preserve"> </w:t>
      </w:r>
    </w:p>
    <w:p w:rsidR="00ED25E5" w:rsidRPr="00D905A8" w:rsidRDefault="00ED25E5" w:rsidP="00ED25E5">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Nám nejbližší příklad Slovenska</w:t>
      </w:r>
      <w:r w:rsidR="00821EAC" w:rsidRPr="00D905A8">
        <w:rPr>
          <w:rFonts w:ascii="Arial" w:hAnsi="Arial" w:cs="Arial"/>
        </w:rPr>
        <w:t xml:space="preserve">, které bylo určitým podnětem pro zavedení 75 % slev k 1. září </w:t>
      </w:r>
      <w:r w:rsidRPr="00D905A8">
        <w:rPr>
          <w:rFonts w:ascii="Arial" w:hAnsi="Arial" w:cs="Arial"/>
        </w:rPr>
        <w:t>2018, je pouze dokladem této nejednotnosti. Na Slovensku byla již dříve zavedena bezplatná přeprava studentů a seniorů, avšak pouze ve vlacích, a to pouze těch objednávaných státem. Situa</w:t>
      </w:r>
      <w:r w:rsidR="00821EAC" w:rsidRPr="00D905A8">
        <w:rPr>
          <w:rFonts w:ascii="Arial" w:hAnsi="Arial" w:cs="Arial"/>
        </w:rPr>
        <w:t>ce ve Slovenské republice je také výrazně</w:t>
      </w:r>
      <w:r w:rsidRPr="00D905A8">
        <w:rPr>
          <w:rFonts w:ascii="Arial" w:hAnsi="Arial" w:cs="Arial"/>
        </w:rPr>
        <w:t xml:space="preserve"> odlišná v tom, že regionální železniční dopravu neobjednávají regiony, ale stát. Ekvivalent našeho Výměru Ministerstva financí, který by ukládal povinnost přiznávat slevy ve vlacích a autobusech, bychom na Slovensku hledali marně.</w:t>
      </w:r>
    </w:p>
    <w:p w:rsidR="001E7D81" w:rsidRPr="00D905A8" w:rsidRDefault="00821EAC" w:rsidP="00ED25E5">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 xml:space="preserve">V Rakouské </w:t>
      </w:r>
      <w:r w:rsidR="001E7D81" w:rsidRPr="00D905A8">
        <w:rPr>
          <w:rFonts w:ascii="Arial" w:hAnsi="Arial" w:cs="Arial"/>
        </w:rPr>
        <w:t>republice platí pro jednotlivé věkové skupiny v zásadě následující pravidla:</w:t>
      </w:r>
    </w:p>
    <w:p w:rsidR="001E7D81" w:rsidRPr="00D905A8" w:rsidRDefault="00821EAC" w:rsidP="001E7D81">
      <w:pPr>
        <w:pStyle w:val="Odstavecseseznamem"/>
        <w:numPr>
          <w:ilvl w:val="0"/>
          <w:numId w:val="34"/>
        </w:numPr>
        <w:spacing w:after="0" w:line="240" w:lineRule="auto"/>
        <w:ind w:left="992" w:hanging="425"/>
        <w:contextualSpacing w:val="0"/>
        <w:jc w:val="both"/>
        <w:rPr>
          <w:rFonts w:ascii="Arial" w:hAnsi="Arial" w:cs="Arial"/>
        </w:rPr>
      </w:pPr>
      <w:r w:rsidRPr="00D905A8">
        <w:rPr>
          <w:rFonts w:ascii="Arial" w:hAnsi="Arial" w:cs="Arial"/>
        </w:rPr>
        <w:t xml:space="preserve">děti ve věku 0-6 let </w:t>
      </w:r>
      <w:r w:rsidR="001E7D81" w:rsidRPr="00D905A8">
        <w:rPr>
          <w:rFonts w:ascii="Arial" w:hAnsi="Arial" w:cs="Arial"/>
        </w:rPr>
        <w:t xml:space="preserve">jsou přepravovány zdarma, </w:t>
      </w:r>
      <w:r w:rsidR="00ED25E5" w:rsidRPr="00D905A8">
        <w:rPr>
          <w:rFonts w:ascii="Arial" w:hAnsi="Arial" w:cs="Arial"/>
        </w:rPr>
        <w:t xml:space="preserve">lze koupit </w:t>
      </w:r>
      <w:r w:rsidR="001E7D81" w:rsidRPr="00D905A8">
        <w:rPr>
          <w:rFonts w:ascii="Arial" w:hAnsi="Arial" w:cs="Arial"/>
        </w:rPr>
        <w:t>i </w:t>
      </w:r>
      <w:r w:rsidR="00ED25E5" w:rsidRPr="00D905A8">
        <w:rPr>
          <w:rFonts w:ascii="Arial" w:hAnsi="Arial" w:cs="Arial"/>
        </w:rPr>
        <w:t xml:space="preserve">místenku </w:t>
      </w:r>
      <w:r w:rsidRPr="00D905A8">
        <w:rPr>
          <w:rFonts w:ascii="Arial" w:hAnsi="Arial" w:cs="Arial"/>
        </w:rPr>
        <w:t>pro tyto malé děti k</w:t>
      </w:r>
      <w:r w:rsidR="001E7D81" w:rsidRPr="00D905A8">
        <w:rPr>
          <w:rFonts w:ascii="Arial" w:hAnsi="Arial" w:cs="Arial"/>
        </w:rPr>
        <w:t> nulovému jízdnému,</w:t>
      </w:r>
    </w:p>
    <w:p w:rsidR="001E7D81" w:rsidRPr="00D905A8" w:rsidRDefault="001E7D81" w:rsidP="001E7D81">
      <w:pPr>
        <w:pStyle w:val="Odstavecseseznamem"/>
        <w:numPr>
          <w:ilvl w:val="0"/>
          <w:numId w:val="34"/>
        </w:numPr>
        <w:spacing w:after="0" w:line="240" w:lineRule="auto"/>
        <w:ind w:left="992" w:hanging="425"/>
        <w:contextualSpacing w:val="0"/>
        <w:jc w:val="both"/>
        <w:rPr>
          <w:rFonts w:ascii="Arial" w:hAnsi="Arial" w:cs="Arial"/>
        </w:rPr>
      </w:pPr>
      <w:r w:rsidRPr="00D905A8">
        <w:rPr>
          <w:rFonts w:ascii="Arial" w:hAnsi="Arial" w:cs="Arial"/>
        </w:rPr>
        <w:t>d</w:t>
      </w:r>
      <w:r w:rsidR="00821EAC" w:rsidRPr="00D905A8">
        <w:rPr>
          <w:rFonts w:ascii="Arial" w:hAnsi="Arial" w:cs="Arial"/>
        </w:rPr>
        <w:t>ěti ve věku 6-14 let požívají</w:t>
      </w:r>
      <w:r w:rsidR="00ED25E5" w:rsidRPr="00D905A8">
        <w:rPr>
          <w:rFonts w:ascii="Arial" w:hAnsi="Arial" w:cs="Arial"/>
        </w:rPr>
        <w:t xml:space="preserve"> </w:t>
      </w:r>
      <w:r w:rsidRPr="00D905A8">
        <w:rPr>
          <w:rFonts w:ascii="Arial" w:hAnsi="Arial" w:cs="Arial"/>
        </w:rPr>
        <w:t xml:space="preserve">v principu </w:t>
      </w:r>
      <w:r w:rsidR="00ED25E5" w:rsidRPr="00D905A8">
        <w:rPr>
          <w:rFonts w:ascii="Arial" w:hAnsi="Arial" w:cs="Arial"/>
        </w:rPr>
        <w:t>50 % slevy ze standardníh</w:t>
      </w:r>
      <w:r w:rsidRPr="00D905A8">
        <w:rPr>
          <w:rFonts w:ascii="Arial" w:hAnsi="Arial" w:cs="Arial"/>
        </w:rPr>
        <w:t xml:space="preserve">o tarifu, mají i některé další tržní zlevněné nabídky např. na komerční jízdenky </w:t>
      </w:r>
      <w:r w:rsidRPr="00D905A8">
        <w:rPr>
          <w:rFonts w:ascii="Arial" w:hAnsi="Arial" w:cs="Arial"/>
          <w:i/>
        </w:rPr>
        <w:t>„</w:t>
      </w:r>
      <w:proofErr w:type="spellStart"/>
      <w:r w:rsidRPr="00D905A8">
        <w:rPr>
          <w:rFonts w:ascii="Arial" w:hAnsi="Arial" w:cs="Arial"/>
          <w:i/>
        </w:rPr>
        <w:t>Sparschiene</w:t>
      </w:r>
      <w:proofErr w:type="spellEnd"/>
      <w:r w:rsidRPr="00D905A8">
        <w:rPr>
          <w:rFonts w:ascii="Arial" w:hAnsi="Arial" w:cs="Arial"/>
          <w:i/>
        </w:rPr>
        <w:t>“</w:t>
      </w:r>
      <w:r w:rsidRPr="00D905A8">
        <w:rPr>
          <w:rFonts w:ascii="Arial" w:hAnsi="Arial" w:cs="Arial"/>
        </w:rPr>
        <w:t xml:space="preserve">, </w:t>
      </w:r>
    </w:p>
    <w:p w:rsidR="001E7D81" w:rsidRPr="00D905A8" w:rsidRDefault="001E7D81" w:rsidP="001E7D81">
      <w:pPr>
        <w:pStyle w:val="Odstavecseseznamem"/>
        <w:numPr>
          <w:ilvl w:val="0"/>
          <w:numId w:val="34"/>
        </w:numPr>
        <w:spacing w:after="0" w:line="240" w:lineRule="auto"/>
        <w:ind w:left="992" w:hanging="425"/>
        <w:contextualSpacing w:val="0"/>
        <w:jc w:val="both"/>
        <w:rPr>
          <w:rFonts w:ascii="Arial" w:hAnsi="Arial" w:cs="Arial"/>
        </w:rPr>
      </w:pPr>
      <w:r w:rsidRPr="00D905A8">
        <w:rPr>
          <w:rFonts w:ascii="Arial" w:hAnsi="Arial" w:cs="Arial"/>
        </w:rPr>
        <w:t>studenti oficiálně platí plné jízdné ze základního tarifu</w:t>
      </w:r>
      <w:r w:rsidR="00ED25E5" w:rsidRPr="00D905A8">
        <w:rPr>
          <w:rFonts w:ascii="Arial" w:hAnsi="Arial" w:cs="Arial"/>
        </w:rPr>
        <w:t xml:space="preserve">, nicméně ve </w:t>
      </w:r>
      <w:r w:rsidRPr="00D905A8">
        <w:rPr>
          <w:rFonts w:ascii="Arial" w:hAnsi="Arial" w:cs="Arial"/>
        </w:rPr>
        <w:t>skutečnosti</w:t>
      </w:r>
      <w:r w:rsidR="00ED25E5" w:rsidRPr="00D905A8">
        <w:rPr>
          <w:rFonts w:ascii="Arial" w:hAnsi="Arial" w:cs="Arial"/>
        </w:rPr>
        <w:t xml:space="preserve"> </w:t>
      </w:r>
      <w:r w:rsidRPr="00D905A8">
        <w:rPr>
          <w:rFonts w:ascii="Arial" w:hAnsi="Arial" w:cs="Arial"/>
        </w:rPr>
        <w:t xml:space="preserve">mají výrazné slevy na zvláštní jízdné v IDS (např. ve spolkové zemi Horní Rakousko ve věku 15-21 let), cestující v tomto věku mají nárok na zlevněný </w:t>
      </w:r>
      <w:r w:rsidRPr="00D905A8">
        <w:rPr>
          <w:rFonts w:ascii="Arial" w:hAnsi="Arial" w:cs="Arial"/>
          <w:i/>
        </w:rPr>
        <w:t>"</w:t>
      </w:r>
      <w:proofErr w:type="spellStart"/>
      <w:r w:rsidRPr="00D905A8">
        <w:rPr>
          <w:rFonts w:ascii="Arial" w:hAnsi="Arial" w:cs="Arial"/>
          <w:i/>
        </w:rPr>
        <w:t>Klimaticket</w:t>
      </w:r>
      <w:proofErr w:type="spellEnd"/>
      <w:r w:rsidRPr="00D905A8">
        <w:rPr>
          <w:rFonts w:ascii="Arial" w:hAnsi="Arial" w:cs="Arial"/>
          <w:i/>
        </w:rPr>
        <w:t xml:space="preserve"> </w:t>
      </w:r>
      <w:proofErr w:type="spellStart"/>
      <w:r w:rsidRPr="00D905A8">
        <w:rPr>
          <w:rFonts w:ascii="Arial" w:hAnsi="Arial" w:cs="Arial"/>
          <w:i/>
        </w:rPr>
        <w:t>Jugend</w:t>
      </w:r>
      <w:proofErr w:type="spellEnd"/>
      <w:r w:rsidRPr="00D905A8">
        <w:rPr>
          <w:rFonts w:ascii="Arial" w:hAnsi="Arial" w:cs="Arial"/>
          <w:i/>
        </w:rPr>
        <w:t>"</w:t>
      </w:r>
      <w:r w:rsidRPr="00D905A8">
        <w:rPr>
          <w:rFonts w:ascii="Arial" w:hAnsi="Arial" w:cs="Arial"/>
        </w:rPr>
        <w:t xml:space="preserve"> a pro školní výlety je k dispozici nabídka </w:t>
      </w:r>
      <w:r w:rsidRPr="00D905A8">
        <w:rPr>
          <w:rFonts w:ascii="Arial" w:hAnsi="Arial" w:cs="Arial"/>
          <w:i/>
        </w:rPr>
        <w:t>"</w:t>
      </w:r>
      <w:proofErr w:type="spellStart"/>
      <w:r w:rsidRPr="00D905A8">
        <w:rPr>
          <w:rFonts w:ascii="Arial" w:hAnsi="Arial" w:cs="Arial"/>
          <w:i/>
        </w:rPr>
        <w:t>Schulcard</w:t>
      </w:r>
      <w:proofErr w:type="spellEnd"/>
      <w:r w:rsidRPr="00D905A8">
        <w:rPr>
          <w:rFonts w:ascii="Arial" w:hAnsi="Arial" w:cs="Arial"/>
          <w:i/>
        </w:rPr>
        <w:t>"</w:t>
      </w:r>
      <w:r w:rsidRPr="00D905A8">
        <w:rPr>
          <w:rFonts w:ascii="Arial" w:hAnsi="Arial" w:cs="Arial"/>
        </w:rPr>
        <w:t>,</w:t>
      </w:r>
    </w:p>
    <w:p w:rsidR="001E7D81" w:rsidRPr="00D905A8" w:rsidRDefault="001E7D81" w:rsidP="001E7D81">
      <w:pPr>
        <w:pStyle w:val="Odstavecseseznamem"/>
        <w:numPr>
          <w:ilvl w:val="0"/>
          <w:numId w:val="34"/>
        </w:numPr>
        <w:spacing w:after="0" w:line="240" w:lineRule="auto"/>
        <w:ind w:left="992" w:hanging="425"/>
        <w:contextualSpacing w:val="0"/>
        <w:jc w:val="both"/>
        <w:rPr>
          <w:rFonts w:ascii="Arial" w:hAnsi="Arial" w:cs="Arial"/>
        </w:rPr>
      </w:pPr>
      <w:r w:rsidRPr="00D905A8">
        <w:rPr>
          <w:rFonts w:ascii="Arial" w:hAnsi="Arial" w:cs="Arial"/>
        </w:rPr>
        <w:t xml:space="preserve">senioři - platí cel síťově plné jízdné, avšak mohou mít </w:t>
      </w:r>
      <w:r w:rsidRPr="00D905A8">
        <w:rPr>
          <w:rFonts w:ascii="Arial" w:hAnsi="Arial" w:cs="Arial"/>
          <w:i/>
        </w:rPr>
        <w:t>"</w:t>
      </w:r>
      <w:proofErr w:type="spellStart"/>
      <w:r w:rsidRPr="00D905A8">
        <w:rPr>
          <w:rFonts w:ascii="Arial" w:hAnsi="Arial" w:cs="Arial"/>
          <w:i/>
        </w:rPr>
        <w:t>Klimaticket</w:t>
      </w:r>
      <w:proofErr w:type="spellEnd"/>
      <w:r w:rsidRPr="00D905A8">
        <w:rPr>
          <w:rFonts w:ascii="Arial" w:hAnsi="Arial" w:cs="Arial"/>
          <w:i/>
        </w:rPr>
        <w:t xml:space="preserve"> Senior"</w:t>
      </w:r>
      <w:r w:rsidRPr="00D905A8">
        <w:rPr>
          <w:rFonts w:ascii="Arial" w:hAnsi="Arial" w:cs="Arial"/>
        </w:rPr>
        <w:t xml:space="preserve"> od 65 let za nižší cenu a další slevy mají v IDS,</w:t>
      </w:r>
    </w:p>
    <w:p w:rsidR="001E7D81" w:rsidRPr="00D905A8" w:rsidRDefault="001E7D81" w:rsidP="001E7D81">
      <w:pPr>
        <w:pStyle w:val="Odstavecseseznamem"/>
        <w:numPr>
          <w:ilvl w:val="0"/>
          <w:numId w:val="34"/>
        </w:numPr>
        <w:spacing w:after="120" w:line="240" w:lineRule="auto"/>
        <w:ind w:left="992" w:hanging="425"/>
        <w:contextualSpacing w:val="0"/>
        <w:jc w:val="both"/>
        <w:rPr>
          <w:rFonts w:ascii="Arial" w:hAnsi="Arial" w:cs="Arial"/>
        </w:rPr>
      </w:pPr>
      <w:r w:rsidRPr="00D905A8">
        <w:rPr>
          <w:rFonts w:ascii="Arial" w:hAnsi="Arial" w:cs="Arial"/>
        </w:rPr>
        <w:t xml:space="preserve">zdravotně postižení – od stanoveného stupně těžkého postižení nebo se zvláštní poznámkou </w:t>
      </w:r>
      <w:r w:rsidRPr="00D905A8">
        <w:rPr>
          <w:rFonts w:ascii="Arial" w:hAnsi="Arial" w:cs="Arial"/>
          <w:i/>
        </w:rPr>
        <w:t>"může požívat státní slevu podle zákona o zdravotně postižených"</w:t>
      </w:r>
      <w:r w:rsidRPr="00D905A8">
        <w:rPr>
          <w:rFonts w:ascii="Arial" w:hAnsi="Arial" w:cs="Arial"/>
        </w:rPr>
        <w:t xml:space="preserve"> dostávají 50 % slevu a místenku zdarma.</w:t>
      </w:r>
    </w:p>
    <w:p w:rsidR="006F57D7" w:rsidRPr="00D905A8" w:rsidRDefault="001E7D81" w:rsidP="00ED25E5">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Často bývá jako příklad organizace veřejné dopravy dáváno Švýcarsko. P</w:t>
      </w:r>
      <w:r w:rsidR="00EB44EA" w:rsidRPr="00D905A8">
        <w:rPr>
          <w:rFonts w:ascii="Arial" w:hAnsi="Arial" w:cs="Arial"/>
        </w:rPr>
        <w:t>říklady z</w:t>
      </w:r>
      <w:r w:rsidRPr="00D905A8">
        <w:rPr>
          <w:rFonts w:ascii="Arial" w:hAnsi="Arial" w:cs="Arial"/>
        </w:rPr>
        <w:t xml:space="preserve"> této země však můžeme brát pouze částečně jako vzor nejen proto, že je zde zcela o</w:t>
      </w:r>
      <w:r w:rsidR="00EB44EA" w:rsidRPr="00D905A8">
        <w:rPr>
          <w:rFonts w:ascii="Arial" w:hAnsi="Arial" w:cs="Arial"/>
        </w:rPr>
        <w:t>d</w:t>
      </w:r>
      <w:r w:rsidRPr="00D905A8">
        <w:rPr>
          <w:rFonts w:ascii="Arial" w:hAnsi="Arial" w:cs="Arial"/>
        </w:rPr>
        <w:t>chylná kupní síla i výše jízdného, ale i proto, že Švýcarsko v zásadě nepodlého unijním pravidlům jako stát, který přímo není členem Evropské unie. Ve Švýcarsku nicméně také jezdí ve veřejné dopravě zdarma děti mezi 0 a 6 rokem věku, děti 6-16 požívají 50 % ze základního tarifu (jednoduchá nebo zpáteční jízdenka). S</w:t>
      </w:r>
      <w:r w:rsidR="00ED25E5" w:rsidRPr="00D905A8">
        <w:rPr>
          <w:rFonts w:ascii="Arial" w:hAnsi="Arial" w:cs="Arial"/>
        </w:rPr>
        <w:t xml:space="preserve">tudenti do 26 let mají plné jízdné, ale </w:t>
      </w:r>
      <w:r w:rsidRPr="00D905A8">
        <w:rPr>
          <w:rFonts w:ascii="Arial" w:hAnsi="Arial" w:cs="Arial"/>
        </w:rPr>
        <w:t xml:space="preserve">mohou zakoupit 50 % slevu ze všech jízdenek ve veřejné dopravě tzv. </w:t>
      </w:r>
      <w:r w:rsidRPr="00D905A8">
        <w:rPr>
          <w:rFonts w:ascii="Arial" w:hAnsi="Arial" w:cs="Arial"/>
          <w:i/>
        </w:rPr>
        <w:t>„</w:t>
      </w:r>
      <w:proofErr w:type="spellStart"/>
      <w:r w:rsidR="00ED25E5" w:rsidRPr="00D905A8">
        <w:rPr>
          <w:rFonts w:ascii="Arial" w:hAnsi="Arial" w:cs="Arial"/>
          <w:i/>
        </w:rPr>
        <w:t>Halbtax</w:t>
      </w:r>
      <w:proofErr w:type="spellEnd"/>
      <w:r w:rsidRPr="00D905A8">
        <w:rPr>
          <w:rFonts w:ascii="Arial" w:hAnsi="Arial" w:cs="Arial"/>
          <w:i/>
        </w:rPr>
        <w:t>-Abonnement“</w:t>
      </w:r>
      <w:r w:rsidR="00ED25E5" w:rsidRPr="00D905A8">
        <w:rPr>
          <w:rFonts w:ascii="Arial" w:hAnsi="Arial" w:cs="Arial"/>
        </w:rPr>
        <w:t xml:space="preserve"> </w:t>
      </w:r>
      <w:r w:rsidRPr="00D905A8">
        <w:rPr>
          <w:rFonts w:ascii="Arial" w:hAnsi="Arial" w:cs="Arial"/>
        </w:rPr>
        <w:t>za zvýhodněnou cenu (</w:t>
      </w:r>
      <w:r w:rsidR="00BA33FA" w:rsidRPr="00D905A8">
        <w:rPr>
          <w:rFonts w:ascii="Arial" w:hAnsi="Arial" w:cs="Arial"/>
        </w:rPr>
        <w:t xml:space="preserve">roční cena </w:t>
      </w:r>
      <w:r w:rsidRPr="00D905A8">
        <w:rPr>
          <w:rFonts w:ascii="Arial" w:hAnsi="Arial" w:cs="Arial"/>
        </w:rPr>
        <w:t xml:space="preserve">120 CHF namísto 185 CHF) a síťovou jízdenku </w:t>
      </w:r>
      <w:r w:rsidRPr="00D905A8">
        <w:rPr>
          <w:rFonts w:ascii="Arial" w:hAnsi="Arial" w:cs="Arial"/>
          <w:i/>
        </w:rPr>
        <w:t>„General-Abonnement“</w:t>
      </w:r>
      <w:r w:rsidRPr="00D905A8">
        <w:rPr>
          <w:rFonts w:ascii="Arial" w:hAnsi="Arial" w:cs="Arial"/>
        </w:rPr>
        <w:t xml:space="preserve"> </w:t>
      </w:r>
      <w:r w:rsidR="00ED25E5" w:rsidRPr="00D905A8">
        <w:rPr>
          <w:rFonts w:ascii="Arial" w:hAnsi="Arial" w:cs="Arial"/>
        </w:rPr>
        <w:t xml:space="preserve"> </w:t>
      </w:r>
      <w:r w:rsidR="00BA33FA" w:rsidRPr="00D905A8">
        <w:rPr>
          <w:rFonts w:ascii="Arial" w:hAnsi="Arial" w:cs="Arial"/>
        </w:rPr>
        <w:t xml:space="preserve">mohou získat rovněž poněkud výhodněji </w:t>
      </w:r>
      <w:r w:rsidR="00ED25E5" w:rsidRPr="00D905A8">
        <w:rPr>
          <w:rFonts w:ascii="Arial" w:hAnsi="Arial" w:cs="Arial"/>
        </w:rPr>
        <w:t>(</w:t>
      </w:r>
      <w:r w:rsidR="00BA33FA" w:rsidRPr="00D905A8">
        <w:rPr>
          <w:rFonts w:ascii="Arial" w:hAnsi="Arial" w:cs="Arial"/>
        </w:rPr>
        <w:t xml:space="preserve">roční cena </w:t>
      </w:r>
      <w:r w:rsidR="00ED25E5" w:rsidRPr="00D905A8">
        <w:rPr>
          <w:rFonts w:ascii="Arial" w:hAnsi="Arial" w:cs="Arial"/>
        </w:rPr>
        <w:t>2650 CHF namísto 3860 CHF)</w:t>
      </w:r>
      <w:r w:rsidR="00BA33FA" w:rsidRPr="00D905A8">
        <w:rPr>
          <w:rFonts w:ascii="Arial" w:hAnsi="Arial" w:cs="Arial"/>
        </w:rPr>
        <w:t>. S</w:t>
      </w:r>
      <w:r w:rsidR="00ED25E5" w:rsidRPr="00D905A8">
        <w:rPr>
          <w:rFonts w:ascii="Arial" w:hAnsi="Arial" w:cs="Arial"/>
        </w:rPr>
        <w:t>e</w:t>
      </w:r>
      <w:r w:rsidR="00BA33FA" w:rsidRPr="00D905A8">
        <w:rPr>
          <w:rFonts w:ascii="Arial" w:hAnsi="Arial" w:cs="Arial"/>
        </w:rPr>
        <w:t xml:space="preserve">nioři 65+ mají slevu pouze na síťové jízdenky </w:t>
      </w:r>
      <w:r w:rsidR="00BA33FA" w:rsidRPr="00D905A8">
        <w:rPr>
          <w:rFonts w:ascii="Arial" w:hAnsi="Arial" w:cs="Arial"/>
          <w:i/>
        </w:rPr>
        <w:t>„General-Abonnement“</w:t>
      </w:r>
      <w:r w:rsidR="00BA33FA" w:rsidRPr="00D905A8">
        <w:rPr>
          <w:rFonts w:ascii="Arial" w:hAnsi="Arial" w:cs="Arial"/>
        </w:rPr>
        <w:t xml:space="preserve">  </w:t>
      </w:r>
      <w:r w:rsidR="00ED25E5" w:rsidRPr="00D905A8">
        <w:rPr>
          <w:rFonts w:ascii="Arial" w:hAnsi="Arial" w:cs="Arial"/>
        </w:rPr>
        <w:t>(</w:t>
      </w:r>
      <w:r w:rsidR="00BA33FA" w:rsidRPr="00D905A8">
        <w:rPr>
          <w:rFonts w:ascii="Arial" w:hAnsi="Arial" w:cs="Arial"/>
        </w:rPr>
        <w:t xml:space="preserve">roční cena </w:t>
      </w:r>
      <w:r w:rsidR="00ED25E5" w:rsidRPr="00D905A8">
        <w:rPr>
          <w:rFonts w:ascii="Arial" w:hAnsi="Arial" w:cs="Arial"/>
        </w:rPr>
        <w:t>2880 CHF)</w:t>
      </w:r>
      <w:r w:rsidR="00BA33FA" w:rsidRPr="00D905A8">
        <w:rPr>
          <w:rFonts w:ascii="Arial" w:hAnsi="Arial" w:cs="Arial"/>
        </w:rPr>
        <w:t>. Z</w:t>
      </w:r>
      <w:r w:rsidR="00ED25E5" w:rsidRPr="00D905A8">
        <w:rPr>
          <w:rFonts w:ascii="Arial" w:hAnsi="Arial" w:cs="Arial"/>
        </w:rPr>
        <w:t>dravotně</w:t>
      </w:r>
      <w:r w:rsidR="00BA33FA" w:rsidRPr="00D905A8">
        <w:rPr>
          <w:rFonts w:ascii="Arial" w:hAnsi="Arial" w:cs="Arial"/>
        </w:rPr>
        <w:t xml:space="preserve"> postižení jezdí se slevou za síťové jízdenky (2480 CHF ročně, mohou</w:t>
      </w:r>
      <w:r w:rsidR="00ED25E5" w:rsidRPr="00D905A8">
        <w:rPr>
          <w:rFonts w:ascii="Arial" w:hAnsi="Arial" w:cs="Arial"/>
        </w:rPr>
        <w:t xml:space="preserve"> platiti i mě</w:t>
      </w:r>
      <w:r w:rsidR="00BA33FA" w:rsidRPr="00D905A8">
        <w:rPr>
          <w:rFonts w:ascii="Arial" w:hAnsi="Arial" w:cs="Arial"/>
        </w:rPr>
        <w:t xml:space="preserve">síčně 225 CHF), doprovod je-li k dispozici příslušný průkaz obdobný jako české ZTP-P, cestuje </w:t>
      </w:r>
      <w:r w:rsidR="00ED25E5" w:rsidRPr="00D905A8">
        <w:rPr>
          <w:rFonts w:ascii="Arial" w:hAnsi="Arial" w:cs="Arial"/>
        </w:rPr>
        <w:t>zdarma</w:t>
      </w:r>
      <w:r w:rsidR="00BA33FA" w:rsidRPr="00D905A8">
        <w:rPr>
          <w:rFonts w:ascii="Arial" w:hAnsi="Arial" w:cs="Arial"/>
        </w:rPr>
        <w:t>.</w:t>
      </w:r>
    </w:p>
    <w:p w:rsidR="000F7285" w:rsidRPr="00D905A8" w:rsidRDefault="00BA33FA" w:rsidP="00BA33FA">
      <w:pPr>
        <w:pStyle w:val="Odstavecseseznamem"/>
        <w:numPr>
          <w:ilvl w:val="0"/>
          <w:numId w:val="10"/>
        </w:numPr>
        <w:spacing w:after="120" w:line="240" w:lineRule="auto"/>
        <w:ind w:left="567" w:hanging="567"/>
        <w:contextualSpacing w:val="0"/>
        <w:jc w:val="both"/>
        <w:rPr>
          <w:rFonts w:ascii="Arial" w:hAnsi="Arial" w:cs="Arial"/>
          <w:b/>
          <w:color w:val="002060"/>
        </w:rPr>
      </w:pPr>
      <w:r w:rsidRPr="00D905A8">
        <w:rPr>
          <w:rFonts w:ascii="Arial" w:hAnsi="Arial" w:cs="Arial"/>
        </w:rPr>
        <w:t>C</w:t>
      </w:r>
      <w:r w:rsidR="00AB1E9D" w:rsidRPr="00D905A8">
        <w:rPr>
          <w:rFonts w:ascii="Arial" w:hAnsi="Arial" w:cs="Arial"/>
        </w:rPr>
        <w:t xml:space="preserve">enová zvýhodnění pro cestování dětí </w:t>
      </w:r>
      <w:r w:rsidR="001F604C" w:rsidRPr="00D905A8">
        <w:rPr>
          <w:rFonts w:ascii="Arial" w:hAnsi="Arial" w:cs="Arial"/>
        </w:rPr>
        <w:t xml:space="preserve">a studentů </w:t>
      </w:r>
      <w:r w:rsidR="00AB1E9D" w:rsidRPr="00D905A8">
        <w:rPr>
          <w:rFonts w:ascii="Arial" w:hAnsi="Arial" w:cs="Arial"/>
        </w:rPr>
        <w:t>ve veřejné dopravě jsou zc</w:t>
      </w:r>
      <w:r w:rsidRPr="00D905A8">
        <w:rPr>
          <w:rFonts w:ascii="Arial" w:hAnsi="Arial" w:cs="Arial"/>
        </w:rPr>
        <w:t>ela běžná i v dalších státech Evropy. N</w:t>
      </w:r>
      <w:r w:rsidR="00AB1E9D" w:rsidRPr="00D905A8">
        <w:rPr>
          <w:rFonts w:ascii="Arial" w:hAnsi="Arial" w:cs="Arial"/>
        </w:rPr>
        <w:t>apříklad v Polsku je ve vl</w:t>
      </w:r>
      <w:r w:rsidR="001F604C" w:rsidRPr="00D905A8">
        <w:rPr>
          <w:rFonts w:ascii="Arial" w:hAnsi="Arial" w:cs="Arial"/>
        </w:rPr>
        <w:t>a</w:t>
      </w:r>
      <w:r w:rsidR="00AB1E9D" w:rsidRPr="00D905A8">
        <w:rPr>
          <w:rFonts w:ascii="Arial" w:hAnsi="Arial" w:cs="Arial"/>
        </w:rPr>
        <w:t xml:space="preserve">cích </w:t>
      </w:r>
      <w:r w:rsidR="001F604C" w:rsidRPr="00D905A8">
        <w:rPr>
          <w:rFonts w:ascii="Arial" w:hAnsi="Arial" w:cs="Arial"/>
        </w:rPr>
        <w:t xml:space="preserve">studentům do 26 let poskytována </w:t>
      </w:r>
      <w:r w:rsidR="00AB1E9D" w:rsidRPr="00D905A8">
        <w:rPr>
          <w:rFonts w:ascii="Arial" w:hAnsi="Arial" w:cs="Arial"/>
        </w:rPr>
        <w:t>sleva 51</w:t>
      </w:r>
      <w:r w:rsidR="001F604C" w:rsidRPr="00D905A8">
        <w:rPr>
          <w:rFonts w:ascii="Arial" w:hAnsi="Arial" w:cs="Arial"/>
        </w:rPr>
        <w:t> </w:t>
      </w:r>
      <w:r w:rsidR="00AB1E9D" w:rsidRPr="00D905A8">
        <w:rPr>
          <w:rFonts w:ascii="Arial" w:hAnsi="Arial" w:cs="Arial"/>
        </w:rPr>
        <w:t xml:space="preserve">% </w:t>
      </w:r>
      <w:r w:rsidRPr="00D905A8">
        <w:rPr>
          <w:rFonts w:ascii="Arial" w:hAnsi="Arial" w:cs="Arial"/>
        </w:rPr>
        <w:t>z běžného jízdného. V</w:t>
      </w:r>
      <w:r w:rsidR="001F604C" w:rsidRPr="00D905A8">
        <w:rPr>
          <w:rFonts w:ascii="Arial" w:hAnsi="Arial" w:cs="Arial"/>
        </w:rPr>
        <w:t> Německu ve vlacích státního dopravce DB jsou výhodné cenové nabídky rovněž omezeny věkem 26 let.</w:t>
      </w:r>
      <w:r w:rsidRPr="00D905A8">
        <w:rPr>
          <w:rFonts w:ascii="Arial" w:hAnsi="Arial" w:cs="Arial"/>
        </w:rPr>
        <w:t xml:space="preserve"> </w:t>
      </w:r>
      <w:r w:rsidRPr="00D905A8">
        <w:rPr>
          <w:rFonts w:ascii="Arial" w:hAnsi="Arial" w:cs="Arial"/>
          <w:b/>
          <w:color w:val="002060"/>
        </w:rPr>
        <w:t xml:space="preserve">Lze shrnout, že každý evropský stát má odlišný systém slev z jízdného a základní slevové kategorie bývají „malé děti“, které do 6 let věku zpravidla jezdí zdarma, „děti“, které mají rozdílné horní ohraničení věku, následně studenti s velmi rozdílnou výší slevy. Senioři mají slevy pouze v některých státech, a to </w:t>
      </w:r>
      <w:r w:rsidR="00EB44EA" w:rsidRPr="00D905A8">
        <w:rPr>
          <w:rFonts w:ascii="Arial" w:hAnsi="Arial" w:cs="Arial"/>
          <w:b/>
          <w:color w:val="002060"/>
        </w:rPr>
        <w:t xml:space="preserve">často </w:t>
      </w:r>
      <w:r w:rsidRPr="00D905A8">
        <w:rPr>
          <w:rFonts w:ascii="Arial" w:hAnsi="Arial" w:cs="Arial"/>
          <w:b/>
          <w:color w:val="002060"/>
        </w:rPr>
        <w:t>jen z určitých slevových kategorií.</w:t>
      </w:r>
    </w:p>
    <w:p w:rsidR="00FB6015" w:rsidRPr="00EB44EA" w:rsidRDefault="00FB6015" w:rsidP="00B36090">
      <w:pPr>
        <w:spacing w:after="120" w:line="240" w:lineRule="auto"/>
        <w:jc w:val="both"/>
        <w:rPr>
          <w:rFonts w:ascii="Arial" w:hAnsi="Arial" w:cs="Arial"/>
        </w:rPr>
      </w:pPr>
    </w:p>
    <w:p w:rsidR="009E04C6" w:rsidRPr="00EB44EA" w:rsidRDefault="003445EC" w:rsidP="00306691">
      <w:pPr>
        <w:tabs>
          <w:tab w:val="left" w:pos="567"/>
        </w:tabs>
        <w:spacing w:after="120" w:line="240" w:lineRule="auto"/>
        <w:jc w:val="both"/>
        <w:rPr>
          <w:rFonts w:ascii="Arial" w:hAnsi="Arial" w:cs="Arial"/>
          <w:b/>
          <w:color w:val="002060"/>
        </w:rPr>
      </w:pPr>
      <w:r w:rsidRPr="00EB44EA">
        <w:rPr>
          <w:rFonts w:ascii="Arial" w:hAnsi="Arial" w:cs="Arial"/>
          <w:b/>
          <w:color w:val="002060"/>
        </w:rPr>
        <w:t>3.</w:t>
      </w:r>
      <w:r w:rsidRPr="00EB44EA">
        <w:rPr>
          <w:rFonts w:ascii="Arial" w:hAnsi="Arial" w:cs="Arial"/>
          <w:b/>
          <w:color w:val="002060"/>
        </w:rPr>
        <w:tab/>
      </w:r>
      <w:r w:rsidR="009E04C6" w:rsidRPr="00EB44EA">
        <w:rPr>
          <w:rFonts w:ascii="Arial" w:hAnsi="Arial" w:cs="Arial"/>
          <w:b/>
          <w:color w:val="002060"/>
        </w:rPr>
        <w:t>Dopady zásahu do nařízených slev na další subjekty</w:t>
      </w:r>
    </w:p>
    <w:p w:rsidR="009E04C6" w:rsidRPr="00EB44EA" w:rsidRDefault="009E04C6" w:rsidP="00306691">
      <w:pPr>
        <w:pStyle w:val="Odstavecseseznamem"/>
        <w:numPr>
          <w:ilvl w:val="0"/>
          <w:numId w:val="10"/>
        </w:numPr>
        <w:spacing w:after="120" w:line="240" w:lineRule="auto"/>
        <w:ind w:left="567" w:hanging="567"/>
        <w:contextualSpacing w:val="0"/>
        <w:jc w:val="both"/>
        <w:rPr>
          <w:rFonts w:ascii="Arial" w:hAnsi="Arial" w:cs="Arial"/>
        </w:rPr>
      </w:pPr>
      <w:r w:rsidRPr="00EB44EA">
        <w:rPr>
          <w:rFonts w:ascii="Arial" w:hAnsi="Arial" w:cs="Arial"/>
        </w:rPr>
        <w:t xml:space="preserve">V tabulkách uvedených výše je vyčíslen </w:t>
      </w:r>
      <w:r w:rsidRPr="00EB44EA">
        <w:rPr>
          <w:rFonts w:ascii="Arial" w:hAnsi="Arial" w:cs="Arial"/>
          <w:i/>
        </w:rPr>
        <w:t>pouze dopad případných zásahů do výše nebo podmínek přiznávání státem nařízených slev z jízdného na státní rozpočet</w:t>
      </w:r>
      <w:r w:rsidRPr="00EB44EA">
        <w:rPr>
          <w:rFonts w:ascii="Arial" w:hAnsi="Arial" w:cs="Arial"/>
        </w:rPr>
        <w:t>. Kromě státního rozpočtu však je nutné uvažovat dopady též na cestující, objednatele veřejných služeb a dopravce.</w:t>
      </w:r>
    </w:p>
    <w:p w:rsidR="009E04C6" w:rsidRDefault="009E04C6" w:rsidP="00306691">
      <w:pPr>
        <w:pStyle w:val="Odstavecseseznamem"/>
        <w:numPr>
          <w:ilvl w:val="0"/>
          <w:numId w:val="10"/>
        </w:numPr>
        <w:spacing w:after="120" w:line="240" w:lineRule="auto"/>
        <w:ind w:left="567" w:hanging="567"/>
        <w:contextualSpacing w:val="0"/>
        <w:jc w:val="both"/>
        <w:rPr>
          <w:rFonts w:ascii="Arial" w:hAnsi="Arial" w:cs="Arial"/>
        </w:rPr>
      </w:pPr>
      <w:r w:rsidRPr="00EB44EA">
        <w:rPr>
          <w:rFonts w:ascii="Arial" w:hAnsi="Arial" w:cs="Arial"/>
        </w:rPr>
        <w:t xml:space="preserve">Často bývá postup spojený se změnami regulace slev označován jako </w:t>
      </w:r>
      <w:r w:rsidRPr="00EB44EA">
        <w:rPr>
          <w:rFonts w:ascii="Arial" w:hAnsi="Arial" w:cs="Arial"/>
          <w:i/>
        </w:rPr>
        <w:t>„rušení slev“</w:t>
      </w:r>
      <w:r w:rsidRPr="00EB44EA">
        <w:rPr>
          <w:rFonts w:ascii="Arial" w:hAnsi="Arial" w:cs="Arial"/>
        </w:rPr>
        <w:t>. To však není přesné</w:t>
      </w:r>
      <w:r w:rsidR="003D2A2B" w:rsidRPr="00EB44EA">
        <w:rPr>
          <w:rFonts w:ascii="Arial" w:hAnsi="Arial" w:cs="Arial"/>
        </w:rPr>
        <w:t>. P</w:t>
      </w:r>
      <w:r w:rsidRPr="00EB44EA">
        <w:rPr>
          <w:rFonts w:ascii="Arial" w:hAnsi="Arial" w:cs="Arial"/>
        </w:rPr>
        <w:t xml:space="preserve">okud se stát rozhodne provést úpravy v této oblasti, pouze zruší </w:t>
      </w:r>
      <w:r w:rsidRPr="00EB44EA">
        <w:rPr>
          <w:rFonts w:ascii="Arial" w:hAnsi="Arial" w:cs="Arial"/>
          <w:i/>
        </w:rPr>
        <w:t xml:space="preserve">povinnost dopravce slevy uplatňovat. </w:t>
      </w:r>
      <w:r w:rsidRPr="00EB44EA">
        <w:rPr>
          <w:rFonts w:ascii="Arial" w:hAnsi="Arial" w:cs="Arial"/>
        </w:rPr>
        <w:t xml:space="preserve">Skutečnost, zda nějaké slevy budou uplatňovány, pak závisí na </w:t>
      </w:r>
      <w:r w:rsidRPr="00EB44EA">
        <w:rPr>
          <w:rFonts w:ascii="Arial" w:hAnsi="Arial" w:cs="Arial"/>
          <w:i/>
        </w:rPr>
        <w:t>komerčním r</w:t>
      </w:r>
      <w:r w:rsidR="001C625C" w:rsidRPr="00EB44EA">
        <w:rPr>
          <w:rFonts w:ascii="Arial" w:hAnsi="Arial" w:cs="Arial"/>
          <w:i/>
        </w:rPr>
        <w:t>ozhodnutí dopravce a objednatele</w:t>
      </w:r>
      <w:r w:rsidRPr="00EB44EA">
        <w:rPr>
          <w:rFonts w:ascii="Arial" w:hAnsi="Arial" w:cs="Arial"/>
          <w:i/>
        </w:rPr>
        <w:t xml:space="preserve"> veřejných služeb</w:t>
      </w:r>
      <w:r w:rsidRPr="00EB44EA">
        <w:rPr>
          <w:rFonts w:ascii="Arial" w:hAnsi="Arial" w:cs="Arial"/>
        </w:rPr>
        <w:t xml:space="preserve"> (úloha objednatele je </w:t>
      </w:r>
      <w:r w:rsidRPr="00D905A8">
        <w:rPr>
          <w:rFonts w:ascii="Arial" w:hAnsi="Arial" w:cs="Arial"/>
        </w:rPr>
        <w:t xml:space="preserve">klíčová zejména jde-li o tzv. brutto smlouvy </w:t>
      </w:r>
      <w:r w:rsidRPr="00D905A8">
        <w:rPr>
          <w:rFonts w:ascii="Arial" w:hAnsi="Arial" w:cs="Arial"/>
          <w:i/>
        </w:rPr>
        <w:t>(gross-</w:t>
      </w:r>
      <w:proofErr w:type="spellStart"/>
      <w:r w:rsidRPr="00D905A8">
        <w:rPr>
          <w:rFonts w:ascii="Arial" w:hAnsi="Arial" w:cs="Arial"/>
          <w:i/>
        </w:rPr>
        <w:t>contract</w:t>
      </w:r>
      <w:proofErr w:type="spellEnd"/>
      <w:r w:rsidRPr="00D905A8">
        <w:rPr>
          <w:rFonts w:ascii="Arial" w:hAnsi="Arial" w:cs="Arial"/>
          <w:i/>
        </w:rPr>
        <w:t>)</w:t>
      </w:r>
      <w:r w:rsidRPr="00D905A8">
        <w:rPr>
          <w:rFonts w:ascii="Arial" w:hAnsi="Arial" w:cs="Arial"/>
        </w:rPr>
        <w:t xml:space="preserve"> kde riziko časového vývoje tržeb je na straně objednatele.</w:t>
      </w:r>
      <w:r w:rsidR="003D2A2B" w:rsidRPr="00D905A8">
        <w:rPr>
          <w:rFonts w:ascii="Arial" w:hAnsi="Arial" w:cs="Arial"/>
        </w:rPr>
        <w:t xml:space="preserve"> </w:t>
      </w:r>
      <w:r w:rsidR="007045D0" w:rsidRPr="00D905A8">
        <w:rPr>
          <w:rFonts w:ascii="Arial" w:hAnsi="Arial" w:cs="Arial"/>
        </w:rPr>
        <w:t xml:space="preserve">Výše v mezinárodním srovnání vidíme, že některé slevy poskytuje trh na základě posouzení cenové elasticity pro specifickou skupinu osob (např. různé </w:t>
      </w:r>
      <w:r w:rsidR="007045D0" w:rsidRPr="00D905A8">
        <w:rPr>
          <w:rFonts w:ascii="Arial" w:hAnsi="Arial" w:cs="Arial"/>
          <w:i/>
        </w:rPr>
        <w:t>„senior-pasy“</w:t>
      </w:r>
      <w:r w:rsidR="007045D0" w:rsidRPr="00D905A8">
        <w:rPr>
          <w:rFonts w:ascii="Arial" w:hAnsi="Arial" w:cs="Arial"/>
        </w:rPr>
        <w:t xml:space="preserve"> a podobně). </w:t>
      </w:r>
      <w:r w:rsidR="003D2A2B" w:rsidRPr="00D905A8">
        <w:rPr>
          <w:rFonts w:ascii="Arial" w:hAnsi="Arial" w:cs="Arial"/>
        </w:rPr>
        <w:t>Řada slev je i dnes stanovena</w:t>
      </w:r>
      <w:r w:rsidR="001C625C" w:rsidRPr="00D905A8">
        <w:rPr>
          <w:rFonts w:ascii="Arial" w:hAnsi="Arial" w:cs="Arial"/>
        </w:rPr>
        <w:t xml:space="preserve"> dobrovolně</w:t>
      </w:r>
      <w:r w:rsidR="003D2A2B" w:rsidRPr="00D905A8">
        <w:rPr>
          <w:rFonts w:ascii="Arial" w:hAnsi="Arial" w:cs="Arial"/>
        </w:rPr>
        <w:t>, protože je to marketingově vhodné pro dopravce (např. tzv.</w:t>
      </w:r>
      <w:r w:rsidR="001C625C" w:rsidRPr="00D905A8">
        <w:rPr>
          <w:rFonts w:ascii="Arial" w:hAnsi="Arial" w:cs="Arial"/>
        </w:rPr>
        <w:t> </w:t>
      </w:r>
      <w:r w:rsidR="003D2A2B" w:rsidRPr="00D905A8">
        <w:rPr>
          <w:rFonts w:ascii="Arial" w:hAnsi="Arial" w:cs="Arial"/>
          <w:i/>
        </w:rPr>
        <w:t>„</w:t>
      </w:r>
      <w:proofErr w:type="spellStart"/>
      <w:r w:rsidR="003D2A2B" w:rsidRPr="00D905A8">
        <w:rPr>
          <w:rFonts w:ascii="Arial" w:hAnsi="Arial" w:cs="Arial"/>
          <w:i/>
        </w:rPr>
        <w:t>Sporotikety</w:t>
      </w:r>
      <w:proofErr w:type="spellEnd"/>
      <w:r w:rsidR="003D2A2B" w:rsidRPr="00D905A8">
        <w:rPr>
          <w:rFonts w:ascii="Arial" w:hAnsi="Arial" w:cs="Arial"/>
          <w:i/>
        </w:rPr>
        <w:t xml:space="preserve">“ </w:t>
      </w:r>
      <w:r w:rsidR="003D2A2B" w:rsidRPr="00D905A8">
        <w:rPr>
          <w:rFonts w:ascii="Arial" w:hAnsi="Arial" w:cs="Arial"/>
        </w:rPr>
        <w:t>v České republice</w:t>
      </w:r>
      <w:r w:rsidR="00203E65" w:rsidRPr="00D905A8">
        <w:rPr>
          <w:rFonts w:ascii="Arial" w:hAnsi="Arial" w:cs="Arial"/>
        </w:rPr>
        <w:t>,</w:t>
      </w:r>
      <w:r w:rsidR="003D2A2B" w:rsidRPr="00D905A8">
        <w:rPr>
          <w:rFonts w:ascii="Arial" w:hAnsi="Arial" w:cs="Arial"/>
          <w:i/>
        </w:rPr>
        <w:t xml:space="preserve"> „</w:t>
      </w:r>
      <w:proofErr w:type="spellStart"/>
      <w:r w:rsidR="003D2A2B" w:rsidRPr="00D905A8">
        <w:rPr>
          <w:rFonts w:ascii="Arial" w:hAnsi="Arial" w:cs="Arial"/>
          <w:i/>
        </w:rPr>
        <w:t>Advanced</w:t>
      </w:r>
      <w:proofErr w:type="spellEnd"/>
      <w:r w:rsidR="003D2A2B" w:rsidRPr="00D905A8">
        <w:rPr>
          <w:rFonts w:ascii="Arial" w:hAnsi="Arial" w:cs="Arial"/>
          <w:i/>
        </w:rPr>
        <w:t xml:space="preserve"> </w:t>
      </w:r>
      <w:proofErr w:type="spellStart"/>
      <w:r w:rsidR="003D2A2B" w:rsidRPr="00D905A8">
        <w:rPr>
          <w:rFonts w:ascii="Arial" w:hAnsi="Arial" w:cs="Arial"/>
          <w:i/>
        </w:rPr>
        <w:t>Tickets</w:t>
      </w:r>
      <w:proofErr w:type="spellEnd"/>
      <w:r w:rsidR="003D2A2B" w:rsidRPr="00EB44EA">
        <w:rPr>
          <w:rFonts w:ascii="Arial" w:hAnsi="Arial" w:cs="Arial"/>
          <w:i/>
        </w:rPr>
        <w:t>“</w:t>
      </w:r>
      <w:r w:rsidR="003D2A2B" w:rsidRPr="00EB44EA">
        <w:rPr>
          <w:rFonts w:ascii="Arial" w:hAnsi="Arial" w:cs="Arial"/>
        </w:rPr>
        <w:t xml:space="preserve"> ve Velké Británii, </w:t>
      </w:r>
      <w:r w:rsidR="003D2A2B" w:rsidRPr="00EB44EA">
        <w:rPr>
          <w:rFonts w:ascii="Arial" w:hAnsi="Arial" w:cs="Arial"/>
          <w:i/>
        </w:rPr>
        <w:t>„</w:t>
      </w:r>
      <w:proofErr w:type="spellStart"/>
      <w:r w:rsidR="003D2A2B" w:rsidRPr="00EB44EA">
        <w:rPr>
          <w:rFonts w:ascii="Arial" w:hAnsi="Arial" w:cs="Arial"/>
          <w:i/>
        </w:rPr>
        <w:t>Minipris</w:t>
      </w:r>
      <w:proofErr w:type="spellEnd"/>
      <w:r w:rsidR="003D2A2B" w:rsidRPr="00EB44EA">
        <w:rPr>
          <w:rFonts w:ascii="Arial" w:hAnsi="Arial" w:cs="Arial"/>
          <w:i/>
        </w:rPr>
        <w:t>“</w:t>
      </w:r>
      <w:r w:rsidR="003D2A2B" w:rsidRPr="00EB44EA">
        <w:rPr>
          <w:rFonts w:ascii="Arial" w:hAnsi="Arial" w:cs="Arial"/>
        </w:rPr>
        <w:t xml:space="preserve"> v Norsku atd.), nebo protože je to rozhodnutí objednatele veřejných služeb (například velmi zvýhodněná roční jízdenka pro využívání MHD v Praze).</w:t>
      </w:r>
    </w:p>
    <w:p w:rsidR="007045D0" w:rsidRPr="007045D0" w:rsidRDefault="007045D0" w:rsidP="007045D0">
      <w:pPr>
        <w:spacing w:after="120" w:line="240" w:lineRule="auto"/>
        <w:jc w:val="both"/>
        <w:rPr>
          <w:rFonts w:ascii="Arial" w:hAnsi="Arial" w:cs="Arial"/>
        </w:rPr>
      </w:pPr>
    </w:p>
    <w:p w:rsidR="009E04C6" w:rsidRPr="00EB44EA" w:rsidRDefault="003445EC" w:rsidP="00306691">
      <w:pPr>
        <w:tabs>
          <w:tab w:val="left" w:pos="567"/>
        </w:tabs>
        <w:spacing w:after="120" w:line="240" w:lineRule="auto"/>
        <w:jc w:val="both"/>
        <w:rPr>
          <w:rFonts w:ascii="Arial" w:hAnsi="Arial" w:cs="Arial"/>
          <w:b/>
          <w:color w:val="002060"/>
        </w:rPr>
      </w:pPr>
      <w:r w:rsidRPr="00EB44EA">
        <w:rPr>
          <w:rFonts w:ascii="Arial" w:hAnsi="Arial" w:cs="Arial"/>
          <w:b/>
          <w:color w:val="002060"/>
        </w:rPr>
        <w:t>3.1</w:t>
      </w:r>
      <w:r w:rsidRPr="00EB44EA">
        <w:rPr>
          <w:rFonts w:ascii="Arial" w:hAnsi="Arial" w:cs="Arial"/>
          <w:b/>
          <w:color w:val="002060"/>
        </w:rPr>
        <w:tab/>
      </w:r>
      <w:r w:rsidR="009E04C6" w:rsidRPr="00EB44EA">
        <w:rPr>
          <w:rFonts w:ascii="Arial" w:hAnsi="Arial" w:cs="Arial"/>
          <w:b/>
          <w:color w:val="002060"/>
        </w:rPr>
        <w:t>Cestující</w:t>
      </w:r>
    </w:p>
    <w:p w:rsidR="00E0613B" w:rsidRPr="00EB44EA" w:rsidRDefault="003D2A2B" w:rsidP="00306691">
      <w:pPr>
        <w:pStyle w:val="Odstavecseseznamem"/>
        <w:numPr>
          <w:ilvl w:val="0"/>
          <w:numId w:val="10"/>
        </w:numPr>
        <w:spacing w:after="120" w:line="240" w:lineRule="auto"/>
        <w:ind w:left="567" w:hanging="567"/>
        <w:contextualSpacing w:val="0"/>
        <w:jc w:val="both"/>
        <w:rPr>
          <w:rFonts w:ascii="Arial" w:hAnsi="Arial" w:cs="Arial"/>
        </w:rPr>
      </w:pPr>
      <w:r w:rsidRPr="00EB44EA">
        <w:rPr>
          <w:rFonts w:ascii="Arial" w:eastAsia="Times New Roman" w:hAnsi="Arial" w:cs="Arial"/>
          <w:color w:val="000000"/>
          <w:lang w:eastAsia="cs-CZ"/>
        </w:rPr>
        <w:t xml:space="preserve">Při pokusu o redukci nařizovaných slev v roce 2010 narazilo MD na </w:t>
      </w:r>
      <w:r w:rsidR="009E4F10" w:rsidRPr="00EB44EA">
        <w:rPr>
          <w:rFonts w:ascii="Arial" w:eastAsia="Times New Roman" w:hAnsi="Arial" w:cs="Arial"/>
          <w:color w:val="000000"/>
          <w:lang w:eastAsia="cs-CZ"/>
        </w:rPr>
        <w:t xml:space="preserve">určitý </w:t>
      </w:r>
      <w:r w:rsidRPr="00EB44EA">
        <w:rPr>
          <w:rFonts w:ascii="Arial" w:eastAsia="Times New Roman" w:hAnsi="Arial" w:cs="Arial"/>
          <w:color w:val="000000"/>
          <w:lang w:eastAsia="cs-CZ"/>
        </w:rPr>
        <w:t>odpor</w:t>
      </w:r>
      <w:r w:rsidR="009E4F10" w:rsidRPr="00EB44EA">
        <w:rPr>
          <w:rFonts w:ascii="Arial" w:eastAsia="Times New Roman" w:hAnsi="Arial" w:cs="Arial"/>
          <w:color w:val="000000"/>
          <w:lang w:eastAsia="cs-CZ"/>
        </w:rPr>
        <w:t xml:space="preserve"> více subjektů</w:t>
      </w:r>
      <w:r w:rsidRPr="00EB44EA">
        <w:rPr>
          <w:rFonts w:ascii="Arial" w:eastAsia="Times New Roman" w:hAnsi="Arial" w:cs="Arial"/>
          <w:color w:val="000000"/>
          <w:lang w:eastAsia="cs-CZ"/>
        </w:rPr>
        <w:t xml:space="preserve">, zejména </w:t>
      </w:r>
      <w:r w:rsidRPr="00EB44EA">
        <w:rPr>
          <w:rFonts w:ascii="Arial" w:eastAsia="Times New Roman" w:hAnsi="Arial" w:cs="Arial"/>
          <w:i/>
          <w:color w:val="000000"/>
          <w:lang w:eastAsia="cs-CZ"/>
        </w:rPr>
        <w:t>Českomoravské konfederace odborových svazů</w:t>
      </w:r>
      <w:r w:rsidRPr="00EB44EA">
        <w:rPr>
          <w:rFonts w:ascii="Arial" w:eastAsia="Times New Roman" w:hAnsi="Arial" w:cs="Arial"/>
          <w:color w:val="000000"/>
          <w:lang w:eastAsia="cs-CZ"/>
        </w:rPr>
        <w:t xml:space="preserve">, která deklarovala, že v důsledku snížení státem nařízené slevy pro žáky a studenty nebude řada dětí do školy dojíždět, protože jejich rodina nebude mít </w:t>
      </w:r>
      <w:r w:rsidR="009E4F10" w:rsidRPr="00EB44EA">
        <w:rPr>
          <w:rFonts w:ascii="Arial" w:eastAsia="Times New Roman" w:hAnsi="Arial" w:cs="Arial"/>
          <w:color w:val="000000"/>
          <w:lang w:eastAsia="cs-CZ"/>
        </w:rPr>
        <w:t xml:space="preserve">údajně </w:t>
      </w:r>
      <w:r w:rsidRPr="00EB44EA">
        <w:rPr>
          <w:rFonts w:ascii="Arial" w:eastAsia="Times New Roman" w:hAnsi="Arial" w:cs="Arial"/>
          <w:color w:val="000000"/>
          <w:lang w:eastAsia="cs-CZ"/>
        </w:rPr>
        <w:t>prostředky na uhrazení jízdného. T</w:t>
      </w:r>
      <w:r w:rsidR="0040556D" w:rsidRPr="00EB44EA">
        <w:rPr>
          <w:rFonts w:ascii="Arial" w:eastAsia="Times New Roman" w:hAnsi="Arial" w:cs="Arial"/>
          <w:color w:val="000000"/>
          <w:lang w:eastAsia="cs-CZ"/>
        </w:rPr>
        <w:t>o je velmi diskutabilní přístup</w:t>
      </w:r>
      <w:r w:rsidR="001C625C" w:rsidRPr="00EB44EA">
        <w:rPr>
          <w:rStyle w:val="Znakapoznpodarou"/>
          <w:rFonts w:ascii="Arial" w:eastAsia="Times New Roman" w:hAnsi="Arial" w:cs="Arial"/>
          <w:color w:val="000000"/>
          <w:lang w:eastAsia="cs-CZ"/>
        </w:rPr>
        <w:footnoteReference w:id="14"/>
      </w:r>
      <w:r w:rsidR="0040556D" w:rsidRPr="00EB44EA">
        <w:rPr>
          <w:rFonts w:ascii="Arial" w:eastAsia="Times New Roman" w:hAnsi="Arial" w:cs="Arial"/>
          <w:color w:val="000000"/>
          <w:lang w:eastAsia="cs-CZ"/>
        </w:rPr>
        <w:t>.</w:t>
      </w:r>
      <w:r w:rsidRPr="00EB44EA">
        <w:rPr>
          <w:rFonts w:ascii="Arial" w:eastAsia="Times New Roman" w:hAnsi="Arial" w:cs="Arial"/>
          <w:color w:val="000000"/>
          <w:lang w:eastAsia="cs-CZ"/>
        </w:rPr>
        <w:t xml:space="preserve"> MD se s ním v zásadě neztotožňuje. Mnohem spíše jde o to, že </w:t>
      </w:r>
    </w:p>
    <w:p w:rsidR="00E0613B" w:rsidRPr="00EB44EA" w:rsidRDefault="003D2A2B" w:rsidP="00306691">
      <w:pPr>
        <w:pStyle w:val="Odstavecseseznamem"/>
        <w:numPr>
          <w:ilvl w:val="0"/>
          <w:numId w:val="22"/>
        </w:numPr>
        <w:spacing w:after="120" w:line="240" w:lineRule="auto"/>
        <w:ind w:left="992" w:hanging="425"/>
        <w:contextualSpacing w:val="0"/>
        <w:jc w:val="both"/>
        <w:rPr>
          <w:rFonts w:ascii="Arial" w:hAnsi="Arial" w:cs="Arial"/>
        </w:rPr>
      </w:pPr>
      <w:r w:rsidRPr="00EB44EA">
        <w:rPr>
          <w:rFonts w:ascii="Arial" w:eastAsia="Times New Roman" w:hAnsi="Arial" w:cs="Arial"/>
          <w:color w:val="000000"/>
          <w:lang w:eastAsia="cs-CZ"/>
        </w:rPr>
        <w:t xml:space="preserve">ve veřejné dopravě </w:t>
      </w:r>
      <w:r w:rsidR="0040556D" w:rsidRPr="00EB44EA">
        <w:rPr>
          <w:rFonts w:ascii="Arial" w:eastAsia="Times New Roman" w:hAnsi="Arial" w:cs="Arial"/>
          <w:color w:val="000000"/>
          <w:lang w:eastAsia="cs-CZ"/>
        </w:rPr>
        <w:t xml:space="preserve">v případě omezení nebo zrušení slev </w:t>
      </w:r>
      <w:r w:rsidRPr="00EB44EA">
        <w:rPr>
          <w:rFonts w:ascii="Arial" w:eastAsia="Times New Roman" w:hAnsi="Arial" w:cs="Arial"/>
          <w:i/>
          <w:color w:val="000000"/>
          <w:lang w:eastAsia="cs-CZ"/>
        </w:rPr>
        <w:t>ubude cest seniorů</w:t>
      </w:r>
      <w:r w:rsidRPr="00EB44EA">
        <w:rPr>
          <w:rFonts w:ascii="Arial" w:eastAsia="Times New Roman" w:hAnsi="Arial" w:cs="Arial"/>
          <w:color w:val="000000"/>
          <w:lang w:eastAsia="cs-CZ"/>
        </w:rPr>
        <w:t>, kteří s velkorysou 75 %</w:t>
      </w:r>
      <w:r w:rsidR="00E0613B" w:rsidRPr="00EB44EA">
        <w:rPr>
          <w:rFonts w:ascii="Arial" w:eastAsia="Times New Roman" w:hAnsi="Arial" w:cs="Arial"/>
          <w:color w:val="000000"/>
          <w:lang w:eastAsia="cs-CZ"/>
        </w:rPr>
        <w:t xml:space="preserve"> slevou jezdili téměř zadarmo, </w:t>
      </w:r>
    </w:p>
    <w:p w:rsidR="00E0613B" w:rsidRPr="00EB44EA" w:rsidRDefault="009E4F10" w:rsidP="00306691">
      <w:pPr>
        <w:pStyle w:val="Odstavecseseznamem"/>
        <w:numPr>
          <w:ilvl w:val="0"/>
          <w:numId w:val="22"/>
        </w:numPr>
        <w:spacing w:after="120" w:line="240" w:lineRule="auto"/>
        <w:ind w:left="992" w:hanging="425"/>
        <w:contextualSpacing w:val="0"/>
        <w:jc w:val="both"/>
        <w:rPr>
          <w:rFonts w:ascii="Arial" w:hAnsi="Arial" w:cs="Arial"/>
        </w:rPr>
      </w:pPr>
      <w:r w:rsidRPr="00EB44EA">
        <w:rPr>
          <w:rFonts w:ascii="Arial" w:eastAsia="Times New Roman" w:hAnsi="Arial" w:cs="Arial"/>
          <w:color w:val="000000"/>
          <w:lang w:eastAsia="cs-CZ"/>
        </w:rPr>
        <w:t xml:space="preserve">někteří </w:t>
      </w:r>
      <w:r w:rsidR="003D2A2B" w:rsidRPr="00EB44EA">
        <w:rPr>
          <w:rFonts w:ascii="Arial" w:eastAsia="Times New Roman" w:hAnsi="Arial" w:cs="Arial"/>
          <w:i/>
          <w:color w:val="000000"/>
          <w:lang w:eastAsia="cs-CZ"/>
        </w:rPr>
        <w:t>studenti se mohou naučit využívat výhradně osobní automobil</w:t>
      </w:r>
      <w:r w:rsidR="003D2A2B" w:rsidRPr="00EB44EA">
        <w:rPr>
          <w:rFonts w:ascii="Arial" w:eastAsia="Times New Roman" w:hAnsi="Arial" w:cs="Arial"/>
          <w:color w:val="000000"/>
          <w:lang w:eastAsia="cs-CZ"/>
        </w:rPr>
        <w:t xml:space="preserve">, protože pozbydou </w:t>
      </w:r>
      <w:r w:rsidRPr="00EB44EA">
        <w:rPr>
          <w:rFonts w:ascii="Arial" w:eastAsia="Times New Roman" w:hAnsi="Arial" w:cs="Arial"/>
          <w:color w:val="000000"/>
          <w:lang w:eastAsia="cs-CZ"/>
        </w:rPr>
        <w:t xml:space="preserve">v době studií </w:t>
      </w:r>
      <w:r w:rsidR="003D2A2B" w:rsidRPr="00EB44EA">
        <w:rPr>
          <w:rFonts w:ascii="Arial" w:eastAsia="Times New Roman" w:hAnsi="Arial" w:cs="Arial"/>
          <w:color w:val="000000"/>
          <w:lang w:eastAsia="cs-CZ"/>
        </w:rPr>
        <w:t>finanční motivační efekt, aby usedl</w:t>
      </w:r>
      <w:r w:rsidR="0040556D" w:rsidRPr="00EB44EA">
        <w:rPr>
          <w:rFonts w:ascii="Arial" w:eastAsia="Times New Roman" w:hAnsi="Arial" w:cs="Arial"/>
          <w:color w:val="000000"/>
          <w:lang w:eastAsia="cs-CZ"/>
        </w:rPr>
        <w:t>i do vlaků a autobusů</w:t>
      </w:r>
      <w:r w:rsidR="00E0613B" w:rsidRPr="00EB44EA">
        <w:rPr>
          <w:rFonts w:ascii="Arial" w:eastAsia="Times New Roman" w:hAnsi="Arial" w:cs="Arial"/>
          <w:color w:val="000000"/>
          <w:lang w:eastAsia="cs-CZ"/>
        </w:rPr>
        <w:t>; t</w:t>
      </w:r>
      <w:r w:rsidR="003D2A2B" w:rsidRPr="00EB44EA">
        <w:rPr>
          <w:rFonts w:ascii="Arial" w:eastAsia="Times New Roman" w:hAnsi="Arial" w:cs="Arial"/>
          <w:color w:val="000000"/>
          <w:lang w:eastAsia="cs-CZ"/>
        </w:rPr>
        <w:t xml:space="preserve">oto je </w:t>
      </w:r>
      <w:r w:rsidR="0040556D" w:rsidRPr="00EB44EA">
        <w:rPr>
          <w:rFonts w:ascii="Arial" w:eastAsia="Times New Roman" w:hAnsi="Arial" w:cs="Arial"/>
          <w:color w:val="000000"/>
          <w:lang w:eastAsia="cs-CZ"/>
        </w:rPr>
        <w:t xml:space="preserve">principiální ohrožení </w:t>
      </w:r>
      <w:r w:rsidR="003D2A2B" w:rsidRPr="00EB44EA">
        <w:rPr>
          <w:rFonts w:ascii="Arial" w:eastAsia="Times New Roman" w:hAnsi="Arial" w:cs="Arial"/>
          <w:color w:val="000000"/>
          <w:lang w:eastAsia="cs-CZ"/>
        </w:rPr>
        <w:t>pro ve</w:t>
      </w:r>
      <w:r w:rsidR="003D04F0" w:rsidRPr="00EB44EA">
        <w:rPr>
          <w:rFonts w:ascii="Arial" w:eastAsia="Times New Roman" w:hAnsi="Arial" w:cs="Arial"/>
          <w:color w:val="000000"/>
          <w:lang w:eastAsia="cs-CZ"/>
        </w:rPr>
        <w:t>řejnou dopravu, protože pokud budou studenti zvyklí</w:t>
      </w:r>
      <w:r w:rsidR="003D2A2B" w:rsidRPr="00EB44EA">
        <w:rPr>
          <w:rFonts w:ascii="Arial" w:eastAsia="Times New Roman" w:hAnsi="Arial" w:cs="Arial"/>
          <w:color w:val="000000"/>
          <w:lang w:eastAsia="cs-CZ"/>
        </w:rPr>
        <w:t xml:space="preserve"> </w:t>
      </w:r>
      <w:r w:rsidRPr="00EB44EA">
        <w:rPr>
          <w:rFonts w:ascii="Arial" w:eastAsia="Times New Roman" w:hAnsi="Arial" w:cs="Arial"/>
          <w:color w:val="000000"/>
          <w:lang w:eastAsia="cs-CZ"/>
        </w:rPr>
        <w:t xml:space="preserve">v době studií </w:t>
      </w:r>
      <w:r w:rsidR="003D2A2B" w:rsidRPr="00EB44EA">
        <w:rPr>
          <w:rFonts w:ascii="Arial" w:eastAsia="Times New Roman" w:hAnsi="Arial" w:cs="Arial"/>
          <w:color w:val="000000"/>
          <w:lang w:eastAsia="cs-CZ"/>
        </w:rPr>
        <w:t>jezdit automobilem, v pozdějším věku již do vlaků a autob</w:t>
      </w:r>
      <w:r w:rsidR="00E0613B" w:rsidRPr="00EB44EA">
        <w:rPr>
          <w:rFonts w:ascii="Arial" w:eastAsia="Times New Roman" w:hAnsi="Arial" w:cs="Arial"/>
          <w:color w:val="000000"/>
          <w:lang w:eastAsia="cs-CZ"/>
        </w:rPr>
        <w:t>usů nepřesednou a</w:t>
      </w:r>
    </w:p>
    <w:p w:rsidR="003D2A2B" w:rsidRPr="00EB44EA" w:rsidRDefault="009E4F10" w:rsidP="00306691">
      <w:pPr>
        <w:pStyle w:val="Odstavecseseznamem"/>
        <w:numPr>
          <w:ilvl w:val="0"/>
          <w:numId w:val="22"/>
        </w:numPr>
        <w:spacing w:after="120" w:line="240" w:lineRule="auto"/>
        <w:ind w:left="992" w:hanging="425"/>
        <w:contextualSpacing w:val="0"/>
        <w:jc w:val="both"/>
        <w:rPr>
          <w:rFonts w:ascii="Arial" w:hAnsi="Arial" w:cs="Arial"/>
        </w:rPr>
      </w:pPr>
      <w:r w:rsidRPr="00EB44EA">
        <w:rPr>
          <w:rFonts w:ascii="Arial" w:eastAsia="Times New Roman" w:hAnsi="Arial" w:cs="Arial"/>
          <w:color w:val="000000"/>
          <w:lang w:eastAsia="cs-CZ"/>
        </w:rPr>
        <w:t>určité slevy byly i v předchozí období před rokem 2018</w:t>
      </w:r>
      <w:r w:rsidR="0040556D" w:rsidRPr="00EB44EA">
        <w:rPr>
          <w:rFonts w:ascii="Arial" w:eastAsia="Times New Roman" w:hAnsi="Arial" w:cs="Arial"/>
          <w:color w:val="000000"/>
          <w:lang w:eastAsia="cs-CZ"/>
        </w:rPr>
        <w:t xml:space="preserve"> </w:t>
      </w:r>
      <w:r w:rsidRPr="00EB44EA">
        <w:rPr>
          <w:rFonts w:ascii="Arial" w:eastAsia="Times New Roman" w:hAnsi="Arial" w:cs="Arial"/>
          <w:color w:val="000000"/>
          <w:lang w:eastAsia="cs-CZ"/>
        </w:rPr>
        <w:t>poskytovány</w:t>
      </w:r>
      <w:r w:rsidR="0040556D" w:rsidRPr="00EB44EA">
        <w:rPr>
          <w:rFonts w:ascii="Arial" w:eastAsia="Times New Roman" w:hAnsi="Arial" w:cs="Arial"/>
          <w:color w:val="000000"/>
          <w:lang w:eastAsia="cs-CZ"/>
        </w:rPr>
        <w:t xml:space="preserve"> i v případě dětí </w:t>
      </w:r>
      <w:r w:rsidRPr="00EB44EA">
        <w:rPr>
          <w:rFonts w:ascii="Arial" w:eastAsia="Times New Roman" w:hAnsi="Arial" w:cs="Arial"/>
          <w:color w:val="000000"/>
          <w:lang w:eastAsia="cs-CZ"/>
        </w:rPr>
        <w:t>nad 6</w:t>
      </w:r>
      <w:r w:rsidR="00B36090" w:rsidRPr="00EB44EA">
        <w:rPr>
          <w:rFonts w:ascii="Arial" w:eastAsia="Times New Roman" w:hAnsi="Arial" w:cs="Arial"/>
          <w:color w:val="000000"/>
          <w:lang w:eastAsia="cs-CZ"/>
        </w:rPr>
        <w:t> </w:t>
      </w:r>
      <w:r w:rsidR="0040556D" w:rsidRPr="00EB44EA">
        <w:rPr>
          <w:rFonts w:ascii="Arial" w:eastAsia="Times New Roman" w:hAnsi="Arial" w:cs="Arial"/>
          <w:color w:val="000000"/>
          <w:lang w:eastAsia="cs-CZ"/>
        </w:rPr>
        <w:t xml:space="preserve">let, a pokud by stát nařízení slev </w:t>
      </w:r>
      <w:r w:rsidR="00E0613B" w:rsidRPr="00EB44EA">
        <w:rPr>
          <w:rFonts w:ascii="Arial" w:eastAsia="Times New Roman" w:hAnsi="Arial" w:cs="Arial"/>
          <w:color w:val="000000"/>
          <w:lang w:eastAsia="cs-CZ"/>
        </w:rPr>
        <w:t xml:space="preserve">úplně </w:t>
      </w:r>
      <w:r w:rsidR="0040556D" w:rsidRPr="00EB44EA">
        <w:rPr>
          <w:rFonts w:ascii="Arial" w:eastAsia="Times New Roman" w:hAnsi="Arial" w:cs="Arial"/>
          <w:color w:val="000000"/>
          <w:lang w:eastAsia="cs-CZ"/>
        </w:rPr>
        <w:t>zrušil,</w:t>
      </w:r>
      <w:r w:rsidR="00E0613B" w:rsidRPr="00EB44EA">
        <w:rPr>
          <w:rFonts w:ascii="Arial" w:eastAsia="Times New Roman" w:hAnsi="Arial" w:cs="Arial"/>
          <w:color w:val="000000"/>
          <w:lang w:eastAsia="cs-CZ"/>
        </w:rPr>
        <w:t xml:space="preserve"> </w:t>
      </w:r>
      <w:r w:rsidR="0040556D" w:rsidRPr="00EB44EA">
        <w:rPr>
          <w:rFonts w:ascii="Arial" w:eastAsia="Times New Roman" w:hAnsi="Arial" w:cs="Arial"/>
          <w:color w:val="000000"/>
          <w:lang w:eastAsia="cs-CZ"/>
        </w:rPr>
        <w:t xml:space="preserve">bylo by na každém dopravci/objednateli, jakou slevu uplatní a například </w:t>
      </w:r>
      <w:r w:rsidR="0040556D" w:rsidRPr="00EB44EA">
        <w:rPr>
          <w:rFonts w:ascii="Arial" w:eastAsia="Times New Roman" w:hAnsi="Arial" w:cs="Arial"/>
          <w:i/>
          <w:color w:val="000000"/>
          <w:lang w:eastAsia="cs-CZ"/>
        </w:rPr>
        <w:t>Systém jednotného tarifu</w:t>
      </w:r>
      <w:r w:rsidR="0040556D" w:rsidRPr="00EB44EA">
        <w:rPr>
          <w:rFonts w:ascii="Arial" w:eastAsia="Times New Roman" w:hAnsi="Arial" w:cs="Arial"/>
          <w:color w:val="000000"/>
          <w:lang w:eastAsia="cs-CZ"/>
        </w:rPr>
        <w:t xml:space="preserve"> by dětskou slevu nenabízel vůbec</w:t>
      </w:r>
      <w:r w:rsidR="00F8404C" w:rsidRPr="00EB44EA">
        <w:rPr>
          <w:rFonts w:ascii="Arial" w:eastAsia="Times New Roman" w:hAnsi="Arial" w:cs="Arial"/>
          <w:color w:val="000000"/>
          <w:lang w:eastAsia="cs-CZ"/>
        </w:rPr>
        <w:t xml:space="preserve">, což je velmi sporné a nelze to </w:t>
      </w:r>
      <w:r w:rsidR="00E0613B" w:rsidRPr="00EB44EA">
        <w:rPr>
          <w:rFonts w:ascii="Arial" w:eastAsia="Times New Roman" w:hAnsi="Arial" w:cs="Arial"/>
          <w:color w:val="000000"/>
          <w:lang w:eastAsia="cs-CZ"/>
        </w:rPr>
        <w:t xml:space="preserve">obecně </w:t>
      </w:r>
      <w:r w:rsidR="00F8404C" w:rsidRPr="00EB44EA">
        <w:rPr>
          <w:rFonts w:ascii="Arial" w:eastAsia="Times New Roman" w:hAnsi="Arial" w:cs="Arial"/>
          <w:color w:val="000000"/>
          <w:lang w:eastAsia="cs-CZ"/>
        </w:rPr>
        <w:t>doporučit</w:t>
      </w:r>
      <w:r w:rsidR="00E0613B" w:rsidRPr="00EB44EA">
        <w:rPr>
          <w:rFonts w:ascii="Arial" w:eastAsia="Times New Roman" w:hAnsi="Arial" w:cs="Arial"/>
          <w:color w:val="000000"/>
          <w:lang w:eastAsia="cs-CZ"/>
        </w:rPr>
        <w:t xml:space="preserve"> jako vhodné řešení</w:t>
      </w:r>
      <w:r w:rsidR="0040556D" w:rsidRPr="00EB44EA">
        <w:rPr>
          <w:rFonts w:ascii="Arial" w:eastAsia="Times New Roman" w:hAnsi="Arial" w:cs="Arial"/>
          <w:color w:val="000000"/>
          <w:lang w:eastAsia="cs-CZ"/>
        </w:rPr>
        <w:t>.</w:t>
      </w:r>
    </w:p>
    <w:p w:rsidR="003D2A2B" w:rsidRDefault="0040556D" w:rsidP="00306691">
      <w:pPr>
        <w:pStyle w:val="Odstavecseseznamem"/>
        <w:numPr>
          <w:ilvl w:val="0"/>
          <w:numId w:val="10"/>
        </w:numPr>
        <w:spacing w:after="120" w:line="240" w:lineRule="auto"/>
        <w:ind w:left="567" w:hanging="567"/>
        <w:contextualSpacing w:val="0"/>
        <w:jc w:val="both"/>
        <w:rPr>
          <w:rFonts w:ascii="Arial" w:hAnsi="Arial" w:cs="Arial"/>
        </w:rPr>
      </w:pPr>
      <w:r w:rsidRPr="00EB44EA">
        <w:rPr>
          <w:rFonts w:ascii="Arial" w:hAnsi="Arial" w:cs="Arial"/>
        </w:rPr>
        <w:t xml:space="preserve">Proto z hlediska zájmové skupiny cestující </w:t>
      </w:r>
      <w:r w:rsidR="009E4F10" w:rsidRPr="00EB44EA">
        <w:rPr>
          <w:rFonts w:ascii="Arial" w:hAnsi="Arial" w:cs="Arial"/>
        </w:rPr>
        <w:t xml:space="preserve">sice </w:t>
      </w:r>
      <w:r w:rsidRPr="00EB44EA">
        <w:rPr>
          <w:rFonts w:ascii="Arial" w:hAnsi="Arial" w:cs="Arial"/>
        </w:rPr>
        <w:t>může být úplné zrušení slev vnímáno negativně</w:t>
      </w:r>
      <w:r w:rsidR="009E4F10" w:rsidRPr="00EB44EA">
        <w:rPr>
          <w:rFonts w:ascii="Arial" w:hAnsi="Arial" w:cs="Arial"/>
        </w:rPr>
        <w:t xml:space="preserve">, </w:t>
      </w:r>
      <w:r w:rsidR="00E0613B" w:rsidRPr="00EB44EA">
        <w:rPr>
          <w:rFonts w:ascii="Arial" w:hAnsi="Arial" w:cs="Arial"/>
        </w:rPr>
        <w:t>ale výši</w:t>
      </w:r>
      <w:r w:rsidRPr="00EB44EA">
        <w:rPr>
          <w:rFonts w:ascii="Arial" w:hAnsi="Arial" w:cs="Arial"/>
        </w:rPr>
        <w:t xml:space="preserve"> </w:t>
      </w:r>
      <w:r w:rsidR="00E0613B" w:rsidRPr="00EB44EA">
        <w:rPr>
          <w:rFonts w:ascii="Arial" w:hAnsi="Arial" w:cs="Arial"/>
          <w:i/>
        </w:rPr>
        <w:t>„</w:t>
      </w:r>
      <w:r w:rsidRPr="00EB44EA">
        <w:rPr>
          <w:rFonts w:ascii="Arial" w:hAnsi="Arial" w:cs="Arial"/>
          <w:i/>
        </w:rPr>
        <w:t>nových</w:t>
      </w:r>
      <w:r w:rsidR="00E0613B" w:rsidRPr="00EB44EA">
        <w:rPr>
          <w:rFonts w:ascii="Arial" w:hAnsi="Arial" w:cs="Arial"/>
          <w:i/>
        </w:rPr>
        <w:t>“</w:t>
      </w:r>
      <w:r w:rsidRPr="00EB44EA">
        <w:rPr>
          <w:rFonts w:ascii="Arial" w:hAnsi="Arial" w:cs="Arial"/>
        </w:rPr>
        <w:t xml:space="preserve"> slev z roku 2018</w:t>
      </w:r>
      <w:r w:rsidR="009E4F10" w:rsidRPr="00EB44EA">
        <w:rPr>
          <w:rFonts w:ascii="Arial" w:hAnsi="Arial" w:cs="Arial"/>
        </w:rPr>
        <w:t xml:space="preserve"> je nutné vnímat jako příliš velkorysou. Kromě toho, že to má negativní dopad na kapacitu daných spojů pro ostatní cestující, kteří si jízdenku již nemohou koupit, </w:t>
      </w:r>
      <w:r w:rsidR="003D04F0" w:rsidRPr="00EB44EA">
        <w:rPr>
          <w:rFonts w:ascii="Arial" w:hAnsi="Arial" w:cs="Arial"/>
        </w:rPr>
        <w:t>lze mít též obavy</w:t>
      </w:r>
      <w:r w:rsidR="009E4F10" w:rsidRPr="00EB44EA">
        <w:rPr>
          <w:rFonts w:ascii="Arial" w:hAnsi="Arial" w:cs="Arial"/>
        </w:rPr>
        <w:t>, že studentům nevadí, když některou jízdenku zrušit zapomenou nebo</w:t>
      </w:r>
      <w:r w:rsidR="00E0613B" w:rsidRPr="00EB44EA">
        <w:rPr>
          <w:rFonts w:ascii="Arial" w:hAnsi="Arial" w:cs="Arial"/>
        </w:rPr>
        <w:t xml:space="preserve"> nestihnou, neboť </w:t>
      </w:r>
      <w:r w:rsidR="003D04F0" w:rsidRPr="00EB44EA">
        <w:rPr>
          <w:rFonts w:ascii="Arial" w:hAnsi="Arial" w:cs="Arial"/>
        </w:rPr>
        <w:t xml:space="preserve">je velmi levná a </w:t>
      </w:r>
      <w:r w:rsidR="009E4F10" w:rsidRPr="00EB44EA">
        <w:rPr>
          <w:rFonts w:ascii="Arial" w:hAnsi="Arial" w:cs="Arial"/>
        </w:rPr>
        <w:t>75 % z</w:t>
      </w:r>
      <w:r w:rsidR="00E0613B" w:rsidRPr="00EB44EA">
        <w:rPr>
          <w:rFonts w:ascii="Arial" w:hAnsi="Arial" w:cs="Arial"/>
        </w:rPr>
        <w:t xml:space="preserve"> takového jízdního dokladu </w:t>
      </w:r>
      <w:r w:rsidR="009E4F10" w:rsidRPr="00EB44EA">
        <w:rPr>
          <w:rFonts w:ascii="Arial" w:hAnsi="Arial" w:cs="Arial"/>
        </w:rPr>
        <w:t>zaplatí stát.</w:t>
      </w:r>
      <w:r w:rsidR="003D04F0" w:rsidRPr="00EB44EA">
        <w:rPr>
          <w:rFonts w:ascii="Arial" w:hAnsi="Arial" w:cs="Arial"/>
        </w:rPr>
        <w:t xml:space="preserve"> Z hlediska zájmové skupiny cestujících se tedy jeví jako problematické jít extrémními cestami plného zachování i plného zrušení slev.</w:t>
      </w:r>
    </w:p>
    <w:p w:rsidR="007045D0" w:rsidRPr="007045D0" w:rsidRDefault="007045D0" w:rsidP="007045D0">
      <w:pPr>
        <w:spacing w:after="120" w:line="240" w:lineRule="auto"/>
        <w:jc w:val="both"/>
        <w:rPr>
          <w:rFonts w:ascii="Arial" w:hAnsi="Arial" w:cs="Arial"/>
        </w:rPr>
      </w:pPr>
    </w:p>
    <w:p w:rsidR="009E4F10" w:rsidRPr="00EB44EA" w:rsidRDefault="003445EC" w:rsidP="00306691">
      <w:pPr>
        <w:tabs>
          <w:tab w:val="left" w:pos="567"/>
        </w:tabs>
        <w:spacing w:after="120" w:line="240" w:lineRule="auto"/>
        <w:jc w:val="both"/>
        <w:rPr>
          <w:rFonts w:ascii="Arial" w:hAnsi="Arial" w:cs="Arial"/>
          <w:b/>
          <w:color w:val="002060"/>
        </w:rPr>
      </w:pPr>
      <w:r w:rsidRPr="00EB44EA">
        <w:rPr>
          <w:rFonts w:ascii="Arial" w:hAnsi="Arial" w:cs="Arial"/>
          <w:b/>
          <w:color w:val="002060"/>
        </w:rPr>
        <w:t>3.2</w:t>
      </w:r>
      <w:r w:rsidRPr="00EB44EA">
        <w:rPr>
          <w:rFonts w:ascii="Arial" w:hAnsi="Arial" w:cs="Arial"/>
          <w:b/>
          <w:color w:val="002060"/>
        </w:rPr>
        <w:tab/>
      </w:r>
      <w:r w:rsidR="009E4F10" w:rsidRPr="00EB44EA">
        <w:rPr>
          <w:rFonts w:ascii="Arial" w:hAnsi="Arial" w:cs="Arial"/>
          <w:b/>
          <w:color w:val="002060"/>
        </w:rPr>
        <w:t>Dopravci</w:t>
      </w:r>
      <w:r w:rsidR="00F8404C" w:rsidRPr="00EB44EA">
        <w:rPr>
          <w:rFonts w:ascii="Arial" w:hAnsi="Arial" w:cs="Arial"/>
          <w:b/>
          <w:color w:val="002060"/>
        </w:rPr>
        <w:t xml:space="preserve"> a objednatelé veřejných služeb</w:t>
      </w:r>
    </w:p>
    <w:p w:rsidR="005F0439" w:rsidRPr="00EB44EA" w:rsidRDefault="00F8404C" w:rsidP="00306691">
      <w:pPr>
        <w:pStyle w:val="Odstavecseseznamem"/>
        <w:numPr>
          <w:ilvl w:val="0"/>
          <w:numId w:val="10"/>
        </w:numPr>
        <w:spacing w:after="120" w:line="240" w:lineRule="auto"/>
        <w:ind w:left="567" w:hanging="567"/>
        <w:contextualSpacing w:val="0"/>
        <w:jc w:val="both"/>
        <w:rPr>
          <w:rFonts w:ascii="Arial" w:hAnsi="Arial" w:cs="Arial"/>
        </w:rPr>
      </w:pPr>
      <w:r w:rsidRPr="00EB44EA">
        <w:rPr>
          <w:rFonts w:ascii="Arial" w:hAnsi="Arial" w:cs="Arial"/>
        </w:rPr>
        <w:t xml:space="preserve">Ve zcela </w:t>
      </w:r>
      <w:r w:rsidR="005F0439" w:rsidRPr="00EB44EA">
        <w:rPr>
          <w:rFonts w:ascii="Arial" w:hAnsi="Arial" w:cs="Arial"/>
        </w:rPr>
        <w:t>teoretické rovině by případná redukce státní regulace v oblasti slev neměla na dopravce dopadnout</w:t>
      </w:r>
      <w:r w:rsidRPr="00EB44EA">
        <w:rPr>
          <w:rStyle w:val="Znakapoznpodarou"/>
          <w:rFonts w:ascii="Arial" w:hAnsi="Arial" w:cs="Arial"/>
        </w:rPr>
        <w:footnoteReference w:id="15"/>
      </w:r>
      <w:r w:rsidR="005F0439" w:rsidRPr="00EB44EA">
        <w:rPr>
          <w:rFonts w:ascii="Arial" w:hAnsi="Arial" w:cs="Arial"/>
        </w:rPr>
        <w:t xml:space="preserve">. Dopravci kompenzace slev ze </w:t>
      </w:r>
      <w:r w:rsidR="00E0613B" w:rsidRPr="00EB44EA">
        <w:rPr>
          <w:rFonts w:ascii="Arial" w:hAnsi="Arial" w:cs="Arial"/>
        </w:rPr>
        <w:t>státního rozpočtu má nahradit</w:t>
      </w:r>
      <w:r w:rsidR="005F0439" w:rsidRPr="00EB44EA">
        <w:rPr>
          <w:rFonts w:ascii="Arial" w:hAnsi="Arial" w:cs="Arial"/>
        </w:rPr>
        <w:t xml:space="preserve"> část tržby od cestujícího, v případě zásahu do regulace by se </w:t>
      </w:r>
      <w:r w:rsidR="005F0439" w:rsidRPr="00EB44EA">
        <w:rPr>
          <w:rFonts w:ascii="Arial" w:hAnsi="Arial" w:cs="Arial"/>
          <w:i/>
        </w:rPr>
        <w:t>„jen“</w:t>
      </w:r>
      <w:r w:rsidR="005F0439" w:rsidRPr="00EB44EA">
        <w:rPr>
          <w:rFonts w:ascii="Arial" w:hAnsi="Arial" w:cs="Arial"/>
        </w:rPr>
        <w:t xml:space="preserve"> větší část úhrady (nebo celá</w:t>
      </w:r>
      <w:r w:rsidR="00E0613B" w:rsidRPr="00EB44EA">
        <w:rPr>
          <w:rFonts w:ascii="Arial" w:hAnsi="Arial" w:cs="Arial"/>
        </w:rPr>
        <w:t xml:space="preserve"> úhrada</w:t>
      </w:r>
      <w:r w:rsidR="005F0439" w:rsidRPr="00EB44EA">
        <w:rPr>
          <w:rFonts w:ascii="Arial" w:hAnsi="Arial" w:cs="Arial"/>
        </w:rPr>
        <w:t xml:space="preserve">) přenesla na cestujícího. Tato </w:t>
      </w:r>
      <w:r w:rsidR="00E0613B" w:rsidRPr="00EB44EA">
        <w:rPr>
          <w:rFonts w:ascii="Arial" w:hAnsi="Arial" w:cs="Arial"/>
        </w:rPr>
        <w:t xml:space="preserve">ryzí </w:t>
      </w:r>
      <w:r w:rsidR="005F0439" w:rsidRPr="00EB44EA">
        <w:rPr>
          <w:rFonts w:ascii="Arial" w:hAnsi="Arial" w:cs="Arial"/>
        </w:rPr>
        <w:t>teorie však naráží na skutečnosti uvedené v předchozí kapitole.</w:t>
      </w:r>
      <w:r w:rsidRPr="00EB44EA">
        <w:rPr>
          <w:rFonts w:ascii="Arial" w:hAnsi="Arial" w:cs="Arial"/>
        </w:rPr>
        <w:t xml:space="preserve"> Fakticky se </w:t>
      </w:r>
      <w:r w:rsidR="00E0613B" w:rsidRPr="00EB44EA">
        <w:rPr>
          <w:rFonts w:ascii="Arial" w:hAnsi="Arial" w:cs="Arial"/>
        </w:rPr>
        <w:t xml:space="preserve">v důsledku tvaru poptávkové křivky </w:t>
      </w:r>
      <w:r w:rsidRPr="00EB44EA">
        <w:rPr>
          <w:rFonts w:ascii="Arial" w:hAnsi="Arial" w:cs="Arial"/>
        </w:rPr>
        <w:t xml:space="preserve">změní nejen cena, ale i množství přepravených cestujících, a tedy reálně </w:t>
      </w:r>
      <w:r w:rsidR="00E0613B" w:rsidRPr="00EB44EA">
        <w:rPr>
          <w:rFonts w:ascii="Arial" w:hAnsi="Arial" w:cs="Arial"/>
        </w:rPr>
        <w:t xml:space="preserve">budou </w:t>
      </w:r>
      <w:r w:rsidRPr="00EB44EA">
        <w:rPr>
          <w:rFonts w:ascii="Arial" w:hAnsi="Arial" w:cs="Arial"/>
        </w:rPr>
        <w:t xml:space="preserve">dopravci </w:t>
      </w:r>
      <w:r w:rsidR="00E0613B" w:rsidRPr="00EB44EA">
        <w:rPr>
          <w:rFonts w:ascii="Arial" w:hAnsi="Arial" w:cs="Arial"/>
        </w:rPr>
        <w:t xml:space="preserve">v ekonomicky horší situaci </w:t>
      </w:r>
      <w:r w:rsidRPr="00EB44EA">
        <w:rPr>
          <w:rFonts w:ascii="Arial" w:hAnsi="Arial" w:cs="Arial"/>
        </w:rPr>
        <w:t>než v současné době.</w:t>
      </w:r>
    </w:p>
    <w:p w:rsidR="00E175E2" w:rsidRPr="00EB44EA" w:rsidRDefault="00DE1442" w:rsidP="00306691">
      <w:pPr>
        <w:pStyle w:val="Odstavecseseznamem"/>
        <w:numPr>
          <w:ilvl w:val="0"/>
          <w:numId w:val="10"/>
        </w:numPr>
        <w:spacing w:after="120" w:line="240" w:lineRule="auto"/>
        <w:ind w:left="567" w:hanging="567"/>
        <w:contextualSpacing w:val="0"/>
        <w:jc w:val="both"/>
        <w:rPr>
          <w:rFonts w:ascii="Arial" w:hAnsi="Arial" w:cs="Arial"/>
        </w:rPr>
      </w:pPr>
      <w:r w:rsidRPr="00EB44EA">
        <w:rPr>
          <w:rFonts w:ascii="Arial" w:hAnsi="Arial" w:cs="Arial"/>
        </w:rPr>
        <w:t>Z údajů, které máme o kompenzacích slev z jízdného, vyplývá, že v posledních dvou</w:t>
      </w:r>
      <w:r w:rsidR="00306691" w:rsidRPr="00EB44EA">
        <w:rPr>
          <w:rFonts w:ascii="Arial" w:hAnsi="Arial" w:cs="Arial"/>
        </w:rPr>
        <w:t xml:space="preserve"> le</w:t>
      </w:r>
      <w:r w:rsidRPr="00EB44EA">
        <w:rPr>
          <w:rFonts w:ascii="Arial" w:hAnsi="Arial" w:cs="Arial"/>
        </w:rPr>
        <w:t xml:space="preserve">tech začala </w:t>
      </w:r>
      <w:r w:rsidRPr="00D905A8">
        <w:rPr>
          <w:rFonts w:ascii="Arial" w:hAnsi="Arial" w:cs="Arial"/>
        </w:rPr>
        <w:t>provozovat komerční autobusovou dopravu řada nových dopravců. Dá se usuzovat, že vznikl</w:t>
      </w:r>
      <w:r w:rsidR="00480D7B" w:rsidRPr="00D905A8">
        <w:rPr>
          <w:rFonts w:ascii="Arial" w:hAnsi="Arial" w:cs="Arial"/>
        </w:rPr>
        <w:t>i</w:t>
      </w:r>
      <w:r w:rsidRPr="00D905A8">
        <w:rPr>
          <w:rFonts w:ascii="Arial" w:hAnsi="Arial" w:cs="Arial"/>
        </w:rPr>
        <w:t xml:space="preserve"> v důsledku štědré výše státem nařízených slev pro děti, žáky, studenty a seniory. Minimálně to mohlo jejich rozhodování o zahájení podnikání pozitivně ovlivnit. V některých případech jsme pak zaznamenali i pokus o zneužívání institutu kompenzací slev, kdy 75 % kompenzace svádí k nekalému jednání. I když odhlédneme od těchto extrémních případů, je zřejmé, že zavedení „nových“ slev </w:t>
      </w:r>
      <w:r w:rsidR="00F8404C" w:rsidRPr="00D905A8">
        <w:rPr>
          <w:rFonts w:ascii="Arial" w:hAnsi="Arial" w:cs="Arial"/>
        </w:rPr>
        <w:t xml:space="preserve">po roce 2018 </w:t>
      </w:r>
      <w:r w:rsidRPr="00D905A8">
        <w:rPr>
          <w:rFonts w:ascii="Arial" w:hAnsi="Arial" w:cs="Arial"/>
        </w:rPr>
        <w:t>mělo na poptávku po veřejné dopravě</w:t>
      </w:r>
      <w:r w:rsidRPr="00EB44EA">
        <w:rPr>
          <w:rFonts w:ascii="Arial" w:hAnsi="Arial" w:cs="Arial"/>
        </w:rPr>
        <w:t xml:space="preserve"> pozitivní vliv, tedy </w:t>
      </w:r>
      <w:r w:rsidR="00763411" w:rsidRPr="00EB44EA">
        <w:rPr>
          <w:rFonts w:ascii="Arial" w:hAnsi="Arial" w:cs="Arial"/>
        </w:rPr>
        <w:t xml:space="preserve">ve výsledku posílilo tržby dopravců. Ti též měli možnost navýšit jízdné, jelikož po uplatnění státem nařízené slevy je praktický dopad </w:t>
      </w:r>
      <w:r w:rsidR="00E175E2" w:rsidRPr="00EB44EA">
        <w:rPr>
          <w:rFonts w:ascii="Arial" w:hAnsi="Arial" w:cs="Arial"/>
        </w:rPr>
        <w:t xml:space="preserve">zdražení </w:t>
      </w:r>
      <w:r w:rsidR="00763411" w:rsidRPr="00EB44EA">
        <w:rPr>
          <w:rFonts w:ascii="Arial" w:hAnsi="Arial" w:cs="Arial"/>
        </w:rPr>
        <w:t>na tyto skupin</w:t>
      </w:r>
      <w:r w:rsidR="00A538C0" w:rsidRPr="00EB44EA">
        <w:rPr>
          <w:rFonts w:ascii="Arial" w:hAnsi="Arial" w:cs="Arial"/>
        </w:rPr>
        <w:t>y cestujících podstatně omezen.</w:t>
      </w:r>
    </w:p>
    <w:p w:rsidR="00A538C0" w:rsidRPr="007045D0" w:rsidRDefault="003D04F0" w:rsidP="007045D0">
      <w:pPr>
        <w:spacing w:after="120" w:line="240" w:lineRule="auto"/>
        <w:ind w:left="567"/>
        <w:jc w:val="both"/>
        <w:rPr>
          <w:rFonts w:ascii="Arial" w:hAnsi="Arial" w:cs="Arial"/>
          <w:b/>
          <w:color w:val="002060"/>
          <w:sz w:val="18"/>
          <w:szCs w:val="18"/>
        </w:rPr>
      </w:pPr>
      <w:r w:rsidRPr="007045D0">
        <w:rPr>
          <w:rFonts w:ascii="Arial" w:hAnsi="Arial" w:cs="Arial"/>
          <w:b/>
          <w:color w:val="002060"/>
          <w:sz w:val="18"/>
          <w:szCs w:val="18"/>
        </w:rPr>
        <w:t>Tab. 6: Propočet</w:t>
      </w:r>
      <w:r w:rsidR="00A538C0" w:rsidRPr="007045D0">
        <w:rPr>
          <w:rFonts w:ascii="Arial" w:hAnsi="Arial" w:cs="Arial"/>
          <w:b/>
          <w:color w:val="002060"/>
          <w:sz w:val="18"/>
          <w:szCs w:val="18"/>
        </w:rPr>
        <w:t xml:space="preserve"> struktury kompenzací slev podle typu veřejné dopravy</w:t>
      </w:r>
    </w:p>
    <w:tbl>
      <w:tblPr>
        <w:tblW w:w="8364" w:type="dxa"/>
        <w:tblInd w:w="562" w:type="dxa"/>
        <w:shd w:val="clear" w:color="000000" w:fill="auto"/>
        <w:tblLayout w:type="fixed"/>
        <w:tblCellMar>
          <w:left w:w="70" w:type="dxa"/>
          <w:right w:w="70" w:type="dxa"/>
        </w:tblCellMar>
        <w:tblLook w:val="04A0" w:firstRow="1" w:lastRow="0" w:firstColumn="1" w:lastColumn="0" w:noHBand="0" w:noVBand="1"/>
      </w:tblPr>
      <w:tblGrid>
        <w:gridCol w:w="3698"/>
        <w:gridCol w:w="2333"/>
        <w:gridCol w:w="2333"/>
      </w:tblGrid>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FFF2CC" w:themeFill="accent4" w:themeFillTint="33"/>
            <w:noWrap/>
            <w:vAlign w:val="center"/>
            <w:hideMark/>
          </w:tcPr>
          <w:p w:rsidR="00B74848" w:rsidRPr="007045D0" w:rsidRDefault="00B74848" w:rsidP="007045D0">
            <w:pPr>
              <w:spacing w:after="0" w:line="240" w:lineRule="auto"/>
              <w:ind w:left="567"/>
              <w:rPr>
                <w:rFonts w:ascii="Arial" w:eastAsia="Times New Roman" w:hAnsi="Arial" w:cs="Arial"/>
                <w:i/>
                <w:color w:val="000000"/>
                <w:sz w:val="18"/>
                <w:szCs w:val="18"/>
                <w:lang w:eastAsia="cs-CZ"/>
              </w:rPr>
            </w:pPr>
            <w:r w:rsidRPr="007045D0">
              <w:rPr>
                <w:rFonts w:ascii="Arial" w:eastAsia="Times New Roman" w:hAnsi="Arial" w:cs="Arial"/>
                <w:i/>
                <w:color w:val="000000"/>
                <w:sz w:val="18"/>
                <w:szCs w:val="18"/>
                <w:lang w:eastAsia="cs-CZ"/>
              </w:rPr>
              <w:t>v mil. Kč</w:t>
            </w:r>
          </w:p>
        </w:tc>
        <w:tc>
          <w:tcPr>
            <w:tcW w:w="2333" w:type="dxa"/>
            <w:tcBorders>
              <w:top w:val="single" w:sz="4" w:space="0" w:color="auto"/>
              <w:left w:val="single" w:sz="4" w:space="0" w:color="auto"/>
              <w:bottom w:val="single" w:sz="4" w:space="0" w:color="auto"/>
              <w:right w:val="single" w:sz="4" w:space="0" w:color="auto"/>
            </w:tcBorders>
            <w:shd w:val="clear" w:color="000000" w:fill="FFF2CC" w:themeFill="accent4" w:themeFillTint="33"/>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2019</w:t>
            </w:r>
          </w:p>
        </w:tc>
        <w:tc>
          <w:tcPr>
            <w:tcW w:w="2333" w:type="dxa"/>
            <w:tcBorders>
              <w:top w:val="single" w:sz="4" w:space="0" w:color="auto"/>
              <w:left w:val="nil"/>
              <w:bottom w:val="single" w:sz="4" w:space="0" w:color="auto"/>
              <w:right w:val="single" w:sz="4" w:space="0" w:color="auto"/>
            </w:tcBorders>
            <w:shd w:val="clear" w:color="000000" w:fill="FFF2CC" w:themeFill="accent4" w:themeFillTint="33"/>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2020</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b/>
                <w:bCs/>
                <w:color w:val="000000"/>
                <w:sz w:val="18"/>
                <w:szCs w:val="18"/>
                <w:lang w:eastAsia="cs-CZ"/>
              </w:rPr>
            </w:pPr>
            <w:r w:rsidRPr="007045D0">
              <w:rPr>
                <w:rFonts w:ascii="Arial" w:eastAsia="Times New Roman" w:hAnsi="Arial" w:cs="Arial"/>
                <w:b/>
                <w:bCs/>
                <w:color w:val="000000"/>
                <w:sz w:val="18"/>
                <w:szCs w:val="18"/>
                <w:lang w:eastAsia="cs-CZ"/>
              </w:rPr>
              <w:t>bus</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2 642,79</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1 523,64</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color w:val="000000"/>
                <w:sz w:val="18"/>
                <w:szCs w:val="18"/>
                <w:lang w:eastAsia="cs-CZ"/>
              </w:rPr>
            </w:pPr>
            <w:r w:rsidRPr="007045D0">
              <w:rPr>
                <w:rFonts w:ascii="Arial" w:eastAsia="Times New Roman" w:hAnsi="Arial" w:cs="Arial"/>
                <w:color w:val="000000"/>
                <w:sz w:val="18"/>
                <w:szCs w:val="18"/>
                <w:lang w:eastAsia="cs-CZ"/>
              </w:rPr>
              <w:t>z toho „Open Access“</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545,50</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246,36</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r w:rsidRPr="007045D0">
              <w:rPr>
                <w:rFonts w:ascii="Arial" w:eastAsia="Times New Roman" w:hAnsi="Arial" w:cs="Arial"/>
                <w:i/>
                <w:iCs/>
                <w:color w:val="000000"/>
                <w:sz w:val="18"/>
                <w:szCs w:val="18"/>
                <w:lang w:eastAsia="cs-CZ"/>
              </w:rPr>
              <w:t>podíl</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21 %</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16 %</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color w:val="000000"/>
                <w:sz w:val="18"/>
                <w:szCs w:val="18"/>
                <w:lang w:eastAsia="cs-CZ"/>
              </w:rPr>
            </w:pPr>
            <w:r w:rsidRPr="007045D0">
              <w:rPr>
                <w:rFonts w:ascii="Arial" w:eastAsia="Times New Roman" w:hAnsi="Arial" w:cs="Arial"/>
                <w:color w:val="000000"/>
                <w:sz w:val="18"/>
                <w:szCs w:val="18"/>
                <w:lang w:eastAsia="cs-CZ"/>
              </w:rPr>
              <w:t>z toho objednávka krajů</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2 097,29</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1 277,38</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r w:rsidRPr="007045D0">
              <w:rPr>
                <w:rFonts w:ascii="Arial" w:eastAsia="Times New Roman" w:hAnsi="Arial" w:cs="Arial"/>
                <w:i/>
                <w:iCs/>
                <w:color w:val="000000"/>
                <w:sz w:val="18"/>
                <w:szCs w:val="18"/>
                <w:lang w:eastAsia="cs-CZ"/>
              </w:rPr>
              <w:t>podíl</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79 %</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84 %</w:t>
            </w:r>
          </w:p>
        </w:tc>
      </w:tr>
      <w:tr w:rsidR="00B74848" w:rsidRPr="007045D0" w:rsidTr="007045D0">
        <w:trPr>
          <w:trHeight w:val="105"/>
        </w:trPr>
        <w:tc>
          <w:tcPr>
            <w:tcW w:w="3698" w:type="dxa"/>
            <w:tcBorders>
              <w:top w:val="single" w:sz="4" w:space="0" w:color="auto"/>
              <w:left w:val="nil"/>
              <w:bottom w:val="single" w:sz="4" w:space="0" w:color="auto"/>
              <w:right w:val="nil"/>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p>
        </w:tc>
        <w:tc>
          <w:tcPr>
            <w:tcW w:w="2333" w:type="dxa"/>
            <w:tcBorders>
              <w:top w:val="single" w:sz="4" w:space="0" w:color="auto"/>
              <w:left w:val="nil"/>
              <w:bottom w:val="single" w:sz="4" w:space="0" w:color="auto"/>
              <w:right w:val="nil"/>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p>
        </w:tc>
        <w:tc>
          <w:tcPr>
            <w:tcW w:w="2333" w:type="dxa"/>
            <w:tcBorders>
              <w:top w:val="single" w:sz="4" w:space="0" w:color="auto"/>
              <w:left w:val="nil"/>
              <w:bottom w:val="single" w:sz="4" w:space="0" w:color="auto"/>
              <w:right w:val="nil"/>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b/>
                <w:bCs/>
                <w:color w:val="000000"/>
                <w:sz w:val="18"/>
                <w:szCs w:val="18"/>
                <w:lang w:eastAsia="cs-CZ"/>
              </w:rPr>
            </w:pPr>
            <w:r w:rsidRPr="007045D0">
              <w:rPr>
                <w:rFonts w:ascii="Arial" w:eastAsia="Times New Roman" w:hAnsi="Arial" w:cs="Arial"/>
                <w:b/>
                <w:bCs/>
                <w:color w:val="000000"/>
                <w:sz w:val="18"/>
                <w:szCs w:val="18"/>
                <w:lang w:eastAsia="cs-CZ"/>
              </w:rPr>
              <w:t>vlak</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3 147,13</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1 953,27</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color w:val="000000"/>
                <w:sz w:val="18"/>
                <w:szCs w:val="18"/>
                <w:lang w:eastAsia="cs-CZ"/>
              </w:rPr>
            </w:pPr>
            <w:r w:rsidRPr="007045D0">
              <w:rPr>
                <w:rFonts w:ascii="Arial" w:eastAsia="Times New Roman" w:hAnsi="Arial" w:cs="Arial"/>
                <w:color w:val="000000"/>
                <w:sz w:val="18"/>
                <w:szCs w:val="18"/>
                <w:lang w:eastAsia="cs-CZ"/>
              </w:rPr>
              <w:t>z toho „Open Access“</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641,04</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410,90</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r w:rsidRPr="007045D0">
              <w:rPr>
                <w:rFonts w:ascii="Arial" w:eastAsia="Times New Roman" w:hAnsi="Arial" w:cs="Arial"/>
                <w:i/>
                <w:iCs/>
                <w:color w:val="000000"/>
                <w:sz w:val="18"/>
                <w:szCs w:val="18"/>
                <w:lang w:eastAsia="cs-CZ"/>
              </w:rPr>
              <w:t>podíl</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20 %</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21 %</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color w:val="000000"/>
                <w:sz w:val="18"/>
                <w:szCs w:val="18"/>
                <w:lang w:eastAsia="cs-CZ"/>
              </w:rPr>
            </w:pPr>
            <w:r w:rsidRPr="007045D0">
              <w:rPr>
                <w:rFonts w:ascii="Arial" w:eastAsia="Times New Roman" w:hAnsi="Arial" w:cs="Arial"/>
                <w:color w:val="000000"/>
                <w:sz w:val="18"/>
                <w:szCs w:val="18"/>
                <w:lang w:eastAsia="cs-CZ"/>
              </w:rPr>
              <w:t>z toho objednávka</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2 506,09</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1 542,27</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r w:rsidRPr="007045D0">
              <w:rPr>
                <w:rFonts w:ascii="Arial" w:eastAsia="Times New Roman" w:hAnsi="Arial" w:cs="Arial"/>
                <w:i/>
                <w:iCs/>
                <w:color w:val="000000"/>
                <w:sz w:val="18"/>
                <w:szCs w:val="18"/>
                <w:lang w:eastAsia="cs-CZ"/>
              </w:rPr>
              <w:t>podíl</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80 %</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79 %</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color w:val="000000"/>
                <w:sz w:val="18"/>
                <w:szCs w:val="18"/>
                <w:lang w:eastAsia="cs-CZ"/>
              </w:rPr>
            </w:pPr>
            <w:r w:rsidRPr="007045D0">
              <w:rPr>
                <w:rFonts w:ascii="Arial" w:eastAsia="Times New Roman" w:hAnsi="Arial" w:cs="Arial"/>
                <w:color w:val="000000"/>
                <w:sz w:val="18"/>
                <w:szCs w:val="18"/>
                <w:lang w:eastAsia="cs-CZ"/>
              </w:rPr>
              <w:t>z toho objednávka státu</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751,31</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426,53</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r w:rsidRPr="007045D0">
              <w:rPr>
                <w:rFonts w:ascii="Arial" w:eastAsia="Times New Roman" w:hAnsi="Arial" w:cs="Arial"/>
                <w:i/>
                <w:iCs/>
                <w:color w:val="000000"/>
                <w:sz w:val="18"/>
                <w:szCs w:val="18"/>
                <w:lang w:eastAsia="cs-CZ"/>
              </w:rPr>
              <w:t>podíl</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24 %</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22 %</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color w:val="000000"/>
                <w:sz w:val="18"/>
                <w:szCs w:val="18"/>
                <w:lang w:eastAsia="cs-CZ"/>
              </w:rPr>
            </w:pPr>
            <w:r w:rsidRPr="007045D0">
              <w:rPr>
                <w:rFonts w:ascii="Arial" w:eastAsia="Times New Roman" w:hAnsi="Arial" w:cs="Arial"/>
                <w:color w:val="000000"/>
                <w:sz w:val="18"/>
                <w:szCs w:val="18"/>
                <w:lang w:eastAsia="cs-CZ"/>
              </w:rPr>
              <w:t>z toho objednávka krajů</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1 754,78</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hAnsi="Arial" w:cs="Arial"/>
                <w:sz w:val="18"/>
                <w:szCs w:val="18"/>
              </w:rPr>
            </w:pPr>
            <w:r w:rsidRPr="007045D0">
              <w:rPr>
                <w:rFonts w:ascii="Arial" w:hAnsi="Arial" w:cs="Arial"/>
                <w:sz w:val="18"/>
                <w:szCs w:val="18"/>
              </w:rPr>
              <w:t>1 115,84</w:t>
            </w:r>
          </w:p>
        </w:tc>
      </w:tr>
      <w:tr w:rsidR="00B74848" w:rsidRPr="007045D0" w:rsidTr="007045D0">
        <w:trPr>
          <w:trHeight w:val="300"/>
        </w:trPr>
        <w:tc>
          <w:tcPr>
            <w:tcW w:w="369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74848" w:rsidRPr="007045D0" w:rsidRDefault="00B74848" w:rsidP="007045D0">
            <w:pPr>
              <w:spacing w:after="0" w:line="240" w:lineRule="auto"/>
              <w:ind w:left="567"/>
              <w:rPr>
                <w:rFonts w:ascii="Arial" w:eastAsia="Times New Roman" w:hAnsi="Arial" w:cs="Arial"/>
                <w:i/>
                <w:iCs/>
                <w:color w:val="000000"/>
                <w:sz w:val="18"/>
                <w:szCs w:val="18"/>
                <w:lang w:eastAsia="cs-CZ"/>
              </w:rPr>
            </w:pPr>
            <w:r w:rsidRPr="007045D0">
              <w:rPr>
                <w:rFonts w:ascii="Arial" w:eastAsia="Times New Roman" w:hAnsi="Arial" w:cs="Arial"/>
                <w:i/>
                <w:iCs/>
                <w:color w:val="000000"/>
                <w:sz w:val="18"/>
                <w:szCs w:val="18"/>
                <w:lang w:eastAsia="cs-CZ"/>
              </w:rPr>
              <w:t>podíl</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56</w:t>
            </w:r>
            <w:r w:rsidR="00D20A80" w:rsidRPr="007045D0">
              <w:rPr>
                <w:rFonts w:ascii="Arial" w:hAnsi="Arial" w:cs="Arial"/>
                <w:sz w:val="18"/>
                <w:szCs w:val="18"/>
              </w:rPr>
              <w:t xml:space="preserve"> %</w:t>
            </w:r>
          </w:p>
        </w:tc>
        <w:tc>
          <w:tcPr>
            <w:tcW w:w="2333" w:type="dxa"/>
            <w:tcBorders>
              <w:top w:val="single" w:sz="4" w:space="0" w:color="auto"/>
              <w:left w:val="nil"/>
              <w:bottom w:val="single" w:sz="4" w:space="0" w:color="auto"/>
              <w:right w:val="single" w:sz="4" w:space="0" w:color="auto"/>
            </w:tcBorders>
            <w:shd w:val="clear" w:color="000000" w:fill="auto"/>
            <w:noWrap/>
            <w:vAlign w:val="center"/>
          </w:tcPr>
          <w:p w:rsidR="00B74848" w:rsidRPr="007045D0" w:rsidRDefault="00B74848" w:rsidP="007045D0">
            <w:pPr>
              <w:spacing w:after="0" w:line="240" w:lineRule="auto"/>
              <w:ind w:left="567"/>
              <w:jc w:val="center"/>
              <w:rPr>
                <w:rFonts w:ascii="Arial" w:eastAsia="Times New Roman" w:hAnsi="Arial" w:cs="Arial"/>
                <w:color w:val="000000"/>
                <w:sz w:val="18"/>
                <w:szCs w:val="18"/>
                <w:lang w:eastAsia="cs-CZ"/>
              </w:rPr>
            </w:pPr>
            <w:r w:rsidRPr="007045D0">
              <w:rPr>
                <w:rFonts w:ascii="Arial" w:hAnsi="Arial" w:cs="Arial"/>
                <w:sz w:val="18"/>
                <w:szCs w:val="18"/>
              </w:rPr>
              <w:t>57</w:t>
            </w:r>
            <w:r w:rsidR="00D20A80" w:rsidRPr="007045D0">
              <w:rPr>
                <w:rFonts w:ascii="Arial" w:hAnsi="Arial" w:cs="Arial"/>
                <w:sz w:val="18"/>
                <w:szCs w:val="18"/>
              </w:rPr>
              <w:t xml:space="preserve"> %</w:t>
            </w:r>
          </w:p>
        </w:tc>
      </w:tr>
    </w:tbl>
    <w:p w:rsidR="00A538C0" w:rsidRPr="007045D0" w:rsidRDefault="00A538C0" w:rsidP="007045D0">
      <w:pPr>
        <w:spacing w:after="120" w:line="240" w:lineRule="auto"/>
        <w:ind w:left="567"/>
        <w:jc w:val="both"/>
        <w:rPr>
          <w:rFonts w:ascii="Arial" w:hAnsi="Arial" w:cs="Arial"/>
          <w:i/>
          <w:sz w:val="18"/>
          <w:szCs w:val="18"/>
        </w:rPr>
      </w:pPr>
      <w:r w:rsidRPr="007045D0">
        <w:rPr>
          <w:rFonts w:ascii="Arial" w:hAnsi="Arial" w:cs="Arial"/>
          <w:i/>
          <w:sz w:val="18"/>
          <w:szCs w:val="18"/>
        </w:rPr>
        <w:t>Vzhledem k tomu, že jízdní doklady nejsou rozlišeny na Open Access a na závazek veřejných služeb, nelze přesně stanovit, jaká část úhrady státních slev je vyplacena do této oblasti. Hodnoty v tabulce uvedené byly dopočítány podle známých údajů</w:t>
      </w:r>
      <w:r w:rsidR="00DB02DC" w:rsidRPr="007045D0">
        <w:rPr>
          <w:rFonts w:ascii="Arial" w:hAnsi="Arial" w:cs="Arial"/>
          <w:i/>
          <w:sz w:val="18"/>
          <w:szCs w:val="18"/>
        </w:rPr>
        <w:t xml:space="preserve"> analogickým propočtem</w:t>
      </w:r>
      <w:r w:rsidRPr="007045D0">
        <w:rPr>
          <w:rFonts w:ascii="Arial" w:hAnsi="Arial" w:cs="Arial"/>
          <w:i/>
          <w:sz w:val="18"/>
          <w:szCs w:val="18"/>
        </w:rPr>
        <w:t xml:space="preserve">. </w:t>
      </w:r>
    </w:p>
    <w:p w:rsidR="00323BFB" w:rsidRPr="007045D0" w:rsidRDefault="00520662"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Lze s</w:t>
      </w:r>
      <w:r w:rsidR="00F8404C" w:rsidRPr="007045D0">
        <w:rPr>
          <w:rFonts w:ascii="Arial" w:hAnsi="Arial" w:cs="Arial"/>
        </w:rPr>
        <w:t>h</w:t>
      </w:r>
      <w:r w:rsidRPr="007045D0">
        <w:rPr>
          <w:rFonts w:ascii="Arial" w:hAnsi="Arial" w:cs="Arial"/>
        </w:rPr>
        <w:t>r</w:t>
      </w:r>
      <w:r w:rsidR="00F8404C" w:rsidRPr="007045D0">
        <w:rPr>
          <w:rFonts w:ascii="Arial" w:hAnsi="Arial" w:cs="Arial"/>
        </w:rPr>
        <w:t xml:space="preserve">nout, že </w:t>
      </w:r>
      <w:r w:rsidR="00763411" w:rsidRPr="007045D0">
        <w:rPr>
          <w:rFonts w:ascii="Arial" w:hAnsi="Arial" w:cs="Arial"/>
        </w:rPr>
        <w:t xml:space="preserve">redukce státem nařízených slev </w:t>
      </w:r>
      <w:r w:rsidR="003D04F0" w:rsidRPr="007045D0">
        <w:rPr>
          <w:rFonts w:ascii="Arial" w:hAnsi="Arial" w:cs="Arial"/>
        </w:rPr>
        <w:t xml:space="preserve">bude pro zájmovou skupinu </w:t>
      </w:r>
      <w:r w:rsidR="00763411" w:rsidRPr="007045D0">
        <w:rPr>
          <w:rFonts w:ascii="Arial" w:hAnsi="Arial" w:cs="Arial"/>
        </w:rPr>
        <w:t>dopravc</w:t>
      </w:r>
      <w:r w:rsidR="003D04F0" w:rsidRPr="007045D0">
        <w:rPr>
          <w:rFonts w:ascii="Arial" w:hAnsi="Arial" w:cs="Arial"/>
        </w:rPr>
        <w:t>ů ekonomicky negativní</w:t>
      </w:r>
      <w:r w:rsidR="00763411" w:rsidRPr="007045D0">
        <w:rPr>
          <w:rFonts w:ascii="Arial" w:hAnsi="Arial" w:cs="Arial"/>
        </w:rPr>
        <w:t xml:space="preserve">. Při větším zásahu </w:t>
      </w:r>
      <w:r w:rsidR="005F0439" w:rsidRPr="007045D0">
        <w:rPr>
          <w:rFonts w:ascii="Arial" w:hAnsi="Arial" w:cs="Arial"/>
        </w:rPr>
        <w:t xml:space="preserve">do regulace </w:t>
      </w:r>
      <w:r w:rsidR="00763411" w:rsidRPr="007045D0">
        <w:rPr>
          <w:rFonts w:ascii="Arial" w:hAnsi="Arial" w:cs="Arial"/>
        </w:rPr>
        <w:t>by museli slevy alespoň částečně převzít na</w:t>
      </w:r>
      <w:r w:rsidR="003D04F0" w:rsidRPr="007045D0">
        <w:rPr>
          <w:rFonts w:ascii="Arial" w:hAnsi="Arial" w:cs="Arial"/>
        </w:rPr>
        <w:t> </w:t>
      </w:r>
      <w:r w:rsidR="00763411" w:rsidRPr="007045D0">
        <w:rPr>
          <w:rFonts w:ascii="Arial" w:hAnsi="Arial" w:cs="Arial"/>
        </w:rPr>
        <w:t>sebe, tedy bez kompenzace ze státního rozpočtu.</w:t>
      </w:r>
      <w:r w:rsidR="00E175E2" w:rsidRPr="007045D0">
        <w:rPr>
          <w:rFonts w:ascii="Arial" w:hAnsi="Arial" w:cs="Arial"/>
        </w:rPr>
        <w:t xml:space="preserve"> Dopad na tržby dopravců nelze přesněji kvantifikovat, je dán </w:t>
      </w:r>
      <w:r w:rsidR="003D04F0" w:rsidRPr="007045D0">
        <w:rPr>
          <w:rFonts w:ascii="Arial" w:hAnsi="Arial" w:cs="Arial"/>
        </w:rPr>
        <w:t xml:space="preserve">především </w:t>
      </w:r>
      <w:r w:rsidR="00E175E2" w:rsidRPr="007045D0">
        <w:rPr>
          <w:rFonts w:ascii="Arial" w:hAnsi="Arial" w:cs="Arial"/>
        </w:rPr>
        <w:t>elasticitou poptávky cestujících po jejich službách.</w:t>
      </w:r>
    </w:p>
    <w:p w:rsidR="00F8404C" w:rsidRPr="007045D0" w:rsidRDefault="00F8404C"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S dopadem na dopravce je u veřejných služeb v přepravě cestujících zcela svázán i</w:t>
      </w:r>
      <w:r w:rsidR="007045D0">
        <w:rPr>
          <w:rFonts w:ascii="Arial" w:hAnsi="Arial" w:cs="Arial"/>
        </w:rPr>
        <w:t> </w:t>
      </w:r>
      <w:r w:rsidRPr="007045D0">
        <w:rPr>
          <w:rFonts w:ascii="Arial" w:hAnsi="Arial" w:cs="Arial"/>
        </w:rPr>
        <w:t xml:space="preserve">dopad na objednatele, protože tam pouze záleží na dělbě výnosových rizik. U tzv. </w:t>
      </w:r>
      <w:r w:rsidRPr="007045D0">
        <w:rPr>
          <w:rFonts w:ascii="Arial" w:hAnsi="Arial" w:cs="Arial"/>
          <w:i/>
        </w:rPr>
        <w:t>netto-smluv</w:t>
      </w:r>
      <w:r w:rsidRPr="007045D0">
        <w:rPr>
          <w:rFonts w:ascii="Arial" w:hAnsi="Arial" w:cs="Arial"/>
        </w:rPr>
        <w:t xml:space="preserve"> obvyklých zejména v dálkové dopravě (MD) nese změnu výnosů v čase dopravce a s potenciálním dopadem se do skončení smluv vypořádává sám. Po skončení smlouvy však předloží nový finanční model, do kterého nová rizika promítne objednateli. U tzv. </w:t>
      </w:r>
      <w:r w:rsidRPr="007045D0">
        <w:rPr>
          <w:rFonts w:ascii="Arial" w:hAnsi="Arial" w:cs="Arial"/>
          <w:i/>
        </w:rPr>
        <w:t>brutto-smluv</w:t>
      </w:r>
      <w:r w:rsidRPr="007045D0">
        <w:rPr>
          <w:rFonts w:ascii="Arial" w:hAnsi="Arial" w:cs="Arial"/>
        </w:rPr>
        <w:t xml:space="preserve"> nese rizika časové změny výnosů objednatel a bude tedy s totožnými dopady jako dopravce konfrontován bezprostředně. Většina dopadů na dopravce spojená se zrušením slev – kromě oblasti </w:t>
      </w:r>
      <w:r w:rsidRPr="007045D0">
        <w:rPr>
          <w:rFonts w:ascii="Arial" w:hAnsi="Arial" w:cs="Arial"/>
          <w:i/>
        </w:rPr>
        <w:t>Open Access</w:t>
      </w:r>
      <w:r w:rsidRPr="007045D0">
        <w:rPr>
          <w:rFonts w:ascii="Arial" w:hAnsi="Arial" w:cs="Arial"/>
        </w:rPr>
        <w:t xml:space="preserve"> – dopadne nakonec na</w:t>
      </w:r>
      <w:r w:rsidR="007045D0">
        <w:rPr>
          <w:rFonts w:ascii="Arial" w:hAnsi="Arial" w:cs="Arial"/>
        </w:rPr>
        <w:t> </w:t>
      </w:r>
      <w:r w:rsidRPr="007045D0">
        <w:rPr>
          <w:rFonts w:ascii="Arial" w:hAnsi="Arial" w:cs="Arial"/>
        </w:rPr>
        <w:t>objednatele, buď ihned anebo po skončení účinnosti dnes platných smluv.</w:t>
      </w:r>
    </w:p>
    <w:p w:rsidR="00F8404C" w:rsidRPr="00D905A8" w:rsidRDefault="00F8404C"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 xml:space="preserve">K výše uvedenému je potřeba doplnit kontext o zásadní informaci, že v roce 2018, kdy byly zavedeny „nové slevy“, tedy ve skutečnosti mj. došlo k zásadnímu navýšení slevy pro děti, žáky a studenty, vzal stát na sebe plnou kompenzaci dopadů (100 % ztráty, resp. rozdílu mezi zlevněným a plným jízdným). I přes to, že do té doby objednatelé veřejných služeb hradili tehdejší ztráty pro tyto skupiny (sleva 62,5 % pro žáky a 25 % pro studenty) z vlastních prostředků, které jim byly předisponovány v rámci úpravy poměrů sdílených daní v roce 2005, po zavedení tehdejšího </w:t>
      </w:r>
      <w:r w:rsidRPr="007045D0">
        <w:rPr>
          <w:rFonts w:ascii="Arial" w:hAnsi="Arial" w:cs="Arial"/>
          <w:i/>
        </w:rPr>
        <w:t>„žákovského jízdného“</w:t>
      </w:r>
      <w:r w:rsidRPr="007045D0">
        <w:rPr>
          <w:rFonts w:ascii="Arial" w:hAnsi="Arial" w:cs="Arial"/>
        </w:rPr>
        <w:t xml:space="preserve">. Tyto prostředky tedy krajům zůstaly a mají je stále k dispozici. Dopad zavedení slev v roce 2018 </w:t>
      </w:r>
      <w:r w:rsidRPr="00D905A8">
        <w:rPr>
          <w:rFonts w:ascii="Arial" w:hAnsi="Arial" w:cs="Arial"/>
        </w:rPr>
        <w:t>byl tedy pro jejich rozpočty jednoznačně pozitivní.</w:t>
      </w:r>
    </w:p>
    <w:p w:rsidR="007045D0" w:rsidRPr="00D905A8" w:rsidRDefault="007045D0" w:rsidP="007045D0">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 xml:space="preserve">Z pohledu státu lze jako určitou výhodu spatřit v tom, že integrované dopravní systémy v návaznosti na slevy zavedené v roce 2018 jednotně </w:t>
      </w:r>
      <w:r w:rsidRPr="00D905A8">
        <w:rPr>
          <w:rFonts w:ascii="Arial" w:hAnsi="Arial" w:cs="Arial"/>
          <w:b/>
          <w:color w:val="002060"/>
        </w:rPr>
        <w:t>upravily výši cestovních výhod pro děti, žáky, studenty a seniory na úroveň státem stanovených slev</w:t>
      </w:r>
      <w:r w:rsidRPr="00D905A8">
        <w:rPr>
          <w:rFonts w:ascii="Arial" w:hAnsi="Arial" w:cs="Arial"/>
          <w:color w:val="002060"/>
        </w:rPr>
        <w:t xml:space="preserve"> </w:t>
      </w:r>
      <w:r w:rsidRPr="00D905A8">
        <w:rPr>
          <w:rFonts w:ascii="Arial" w:hAnsi="Arial" w:cs="Arial"/>
        </w:rPr>
        <w:t xml:space="preserve">(s výjimkou dopravních služeb v městské hromadné dopravě, u nichž se režim státních slev omezuje na přepravu zdravotně postižených občanů stanovenou na základě zákona). Režim slevových nabídek v regionální dopravě je tak pro kategorie dětí, žáků, studentů a seniorů relativně přehledný. </w:t>
      </w:r>
    </w:p>
    <w:p w:rsidR="007045D0" w:rsidRPr="00D905A8" w:rsidRDefault="007045D0" w:rsidP="007045D0">
      <w:pPr>
        <w:pStyle w:val="Odstavecseseznamem"/>
        <w:numPr>
          <w:ilvl w:val="0"/>
          <w:numId w:val="10"/>
        </w:numPr>
        <w:spacing w:after="120" w:line="240" w:lineRule="auto"/>
        <w:ind w:left="567" w:hanging="567"/>
        <w:contextualSpacing w:val="0"/>
        <w:jc w:val="both"/>
        <w:rPr>
          <w:rFonts w:ascii="Arial" w:hAnsi="Arial" w:cs="Arial"/>
        </w:rPr>
      </w:pPr>
      <w:r w:rsidRPr="00D905A8">
        <w:rPr>
          <w:rFonts w:ascii="Arial" w:hAnsi="Arial" w:cs="Arial"/>
        </w:rPr>
        <w:t xml:space="preserve">V městské hromadné dopravě slevové režimy pro děti, žáky, studenty a seniory nastavují města a lze tedy spatřit rozdíly mezi výší slev v jednotlivých dopravních systémech. Například v Praze děti do 15 let a senioři nad 65 let cestují za vymezených podmínek zdarma, naopak studenti do 26 let mohou čerpat určité výhody pouze u kuponů pro dlouhodobé cestování. V Brně mohou za vymezených podmínek zdarma cestovat děti do 10 let a senioři nad 70 let, s jednorázovými jízdenkami se slevou 75 % pak mohou v centru Brna cestovat pouze děti do 15 let. Studenti do 26 let a důchodci do 70 let mohou využít výhod pouze u předplatných jízdenek pro dlouhodobé cestování. V ostravské městské hromadné dopravě mohou vedle dětí do 6 let za vymezených podmínek cestovat zdarma senioři nad 65 let, u jednotlivých jízdenek pak je poskytována sleva 50 % pro přepravu dětí od 6 let do 15 let věku. Důchodci, studenti do 26 let a dětí od 6 let do 15 let mohou v Ostravě využít slevových nabídek u dlouhodobých jízdenek.      </w:t>
      </w:r>
    </w:p>
    <w:p w:rsidR="00A538C0" w:rsidRPr="00D905A8" w:rsidRDefault="003445EC" w:rsidP="00306691">
      <w:pPr>
        <w:tabs>
          <w:tab w:val="left" w:pos="567"/>
        </w:tabs>
        <w:spacing w:after="120" w:line="240" w:lineRule="auto"/>
        <w:jc w:val="both"/>
        <w:rPr>
          <w:rFonts w:ascii="Arial" w:hAnsi="Arial" w:cs="Arial"/>
          <w:u w:val="single"/>
        </w:rPr>
      </w:pPr>
      <w:r w:rsidRPr="00D905A8">
        <w:rPr>
          <w:rFonts w:ascii="Arial" w:hAnsi="Arial" w:cs="Arial"/>
        </w:rPr>
        <w:t>3.2.1</w:t>
      </w:r>
      <w:r w:rsidRPr="00D905A8">
        <w:rPr>
          <w:rFonts w:ascii="Arial" w:hAnsi="Arial" w:cs="Arial"/>
        </w:rPr>
        <w:tab/>
      </w:r>
      <w:r w:rsidR="00A538C0" w:rsidRPr="00D905A8">
        <w:rPr>
          <w:rFonts w:ascii="Arial" w:hAnsi="Arial" w:cs="Arial"/>
          <w:u w:val="single"/>
        </w:rPr>
        <w:t>Open Access</w:t>
      </w:r>
    </w:p>
    <w:p w:rsidR="00A4262F" w:rsidRPr="007045D0" w:rsidRDefault="00A538C0" w:rsidP="00A4262F">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 xml:space="preserve">U spojů </w:t>
      </w:r>
      <w:r w:rsidR="001552BF" w:rsidRPr="007045D0">
        <w:rPr>
          <w:rFonts w:ascii="Arial" w:hAnsi="Arial" w:cs="Arial"/>
          <w:i/>
        </w:rPr>
        <w:t>„Open Access“</w:t>
      </w:r>
      <w:r w:rsidR="001552BF" w:rsidRPr="007045D0">
        <w:rPr>
          <w:rFonts w:ascii="Arial" w:hAnsi="Arial" w:cs="Arial"/>
        </w:rPr>
        <w:t xml:space="preserve"> jsou označovány dopravní služby, které jsou poskytovány bez smlouvy o veřejných službách. </w:t>
      </w:r>
      <w:r w:rsidR="001552BF" w:rsidRPr="007045D0">
        <w:rPr>
          <w:rFonts w:ascii="Arial" w:hAnsi="Arial" w:cs="Arial"/>
          <w:b/>
          <w:color w:val="002060"/>
        </w:rPr>
        <w:t xml:space="preserve">U těchto služeb po zrušení </w:t>
      </w:r>
      <w:r w:rsidRPr="007045D0">
        <w:rPr>
          <w:rFonts w:ascii="Arial" w:hAnsi="Arial" w:cs="Arial"/>
          <w:b/>
          <w:color w:val="002060"/>
        </w:rPr>
        <w:t>s</w:t>
      </w:r>
      <w:r w:rsidR="001552BF" w:rsidRPr="007045D0">
        <w:rPr>
          <w:rFonts w:ascii="Arial" w:hAnsi="Arial" w:cs="Arial"/>
          <w:b/>
          <w:color w:val="002060"/>
        </w:rPr>
        <w:t>lev nevzniknou žádné další dopady na státní rozpočet ani na jiné veřejné rozpočty</w:t>
      </w:r>
      <w:r w:rsidRPr="007045D0">
        <w:rPr>
          <w:rFonts w:ascii="Arial" w:hAnsi="Arial" w:cs="Arial"/>
          <w:b/>
          <w:color w:val="002060"/>
        </w:rPr>
        <w:t>, nebude ani žádný právní titul, pro který by měl stát jakákoli rizika nést</w:t>
      </w:r>
      <w:r w:rsidR="001552BF" w:rsidRPr="007045D0">
        <w:rPr>
          <w:rFonts w:ascii="Arial" w:hAnsi="Arial" w:cs="Arial"/>
          <w:b/>
          <w:color w:val="002060"/>
        </w:rPr>
        <w:t>.</w:t>
      </w:r>
      <w:r w:rsidR="001552BF" w:rsidRPr="007045D0">
        <w:rPr>
          <w:rFonts w:ascii="Arial" w:hAnsi="Arial" w:cs="Arial"/>
          <w:color w:val="002060"/>
        </w:rPr>
        <w:t xml:space="preserve"> </w:t>
      </w:r>
      <w:r w:rsidR="001552BF" w:rsidRPr="007045D0">
        <w:rPr>
          <w:rFonts w:ascii="Arial" w:hAnsi="Arial" w:cs="Arial"/>
        </w:rPr>
        <w:t>Prostředky na kompenzace slev</w:t>
      </w:r>
      <w:r w:rsidR="00505256" w:rsidRPr="007045D0">
        <w:rPr>
          <w:rFonts w:ascii="Arial" w:hAnsi="Arial" w:cs="Arial"/>
        </w:rPr>
        <w:t>, které před vypuknutím pandemie COVID-19 představovaly cca 1,2 m</w:t>
      </w:r>
      <w:r w:rsidR="00203E65" w:rsidRPr="007045D0">
        <w:rPr>
          <w:rFonts w:ascii="Arial" w:hAnsi="Arial" w:cs="Arial"/>
        </w:rPr>
        <w:t>ld</w:t>
      </w:r>
      <w:r w:rsidR="00505256" w:rsidRPr="007045D0">
        <w:rPr>
          <w:rFonts w:ascii="Arial" w:hAnsi="Arial" w:cs="Arial"/>
        </w:rPr>
        <w:t xml:space="preserve">. Kč, </w:t>
      </w:r>
      <w:r w:rsidR="001552BF" w:rsidRPr="007045D0">
        <w:rPr>
          <w:rFonts w:ascii="Arial" w:hAnsi="Arial" w:cs="Arial"/>
        </w:rPr>
        <w:t xml:space="preserve"> budou </w:t>
      </w:r>
      <w:r w:rsidR="00345545" w:rsidRPr="007045D0">
        <w:rPr>
          <w:rFonts w:ascii="Arial" w:hAnsi="Arial" w:cs="Arial"/>
        </w:rPr>
        <w:t xml:space="preserve">při případné redukci nařízených slev </w:t>
      </w:r>
      <w:r w:rsidR="001552BF" w:rsidRPr="007045D0">
        <w:rPr>
          <w:rFonts w:ascii="Arial" w:hAnsi="Arial" w:cs="Arial"/>
        </w:rPr>
        <w:t>pro dopravce bez náhrady škrtnuty</w:t>
      </w:r>
      <w:r w:rsidR="00A4262F" w:rsidRPr="007045D0">
        <w:rPr>
          <w:rFonts w:ascii="Arial" w:hAnsi="Arial" w:cs="Arial"/>
        </w:rPr>
        <w:t xml:space="preserve"> (popř. omezeny)</w:t>
      </w:r>
      <w:r w:rsidR="001552BF" w:rsidRPr="007045D0">
        <w:rPr>
          <w:rFonts w:ascii="Arial" w:hAnsi="Arial" w:cs="Arial"/>
        </w:rPr>
        <w:t xml:space="preserve"> a nebudou jimi zatíženy jiné veřejné rozpočty. Dopravci budou vnímat omezení či zrušení smluv negativně, protože jim poklesne počet cestujících, a to i přesto, že sami dopravci určitý režim slev pro žáky, studenty i důchodce zřejmě zavedou (stejně jako tomu bylo před rokem 2018). Lze přepokládat, že v případě zásahu do státních slev může </w:t>
      </w:r>
      <w:r w:rsidR="00505256" w:rsidRPr="007045D0">
        <w:rPr>
          <w:rFonts w:ascii="Arial" w:hAnsi="Arial" w:cs="Arial"/>
        </w:rPr>
        <w:t xml:space="preserve">být </w:t>
      </w:r>
      <w:r w:rsidR="001552BF" w:rsidRPr="007045D0">
        <w:rPr>
          <w:rFonts w:ascii="Arial" w:hAnsi="Arial" w:cs="Arial"/>
        </w:rPr>
        <w:t>část kom</w:t>
      </w:r>
      <w:r w:rsidR="00505256" w:rsidRPr="007045D0">
        <w:rPr>
          <w:rFonts w:ascii="Arial" w:hAnsi="Arial" w:cs="Arial"/>
        </w:rPr>
        <w:t>erčních dopravních služeb omezena či zrušena</w:t>
      </w:r>
      <w:r w:rsidR="001552BF" w:rsidRPr="007045D0">
        <w:rPr>
          <w:rFonts w:ascii="Arial" w:hAnsi="Arial" w:cs="Arial"/>
        </w:rPr>
        <w:t>.</w:t>
      </w:r>
    </w:p>
    <w:p w:rsidR="00A538C0" w:rsidRPr="007045D0" w:rsidRDefault="003445EC" w:rsidP="00306691">
      <w:pPr>
        <w:widowControl w:val="0"/>
        <w:tabs>
          <w:tab w:val="left" w:pos="567"/>
        </w:tabs>
        <w:autoSpaceDE w:val="0"/>
        <w:autoSpaceDN w:val="0"/>
        <w:adjustRightInd w:val="0"/>
        <w:spacing w:after="120" w:line="240" w:lineRule="auto"/>
        <w:jc w:val="both"/>
        <w:rPr>
          <w:rFonts w:ascii="Arial" w:hAnsi="Arial" w:cs="Arial"/>
          <w:u w:val="single"/>
        </w:rPr>
      </w:pPr>
      <w:r w:rsidRPr="007045D0">
        <w:rPr>
          <w:rFonts w:ascii="Arial" w:hAnsi="Arial" w:cs="Arial"/>
        </w:rPr>
        <w:t>3.2.2</w:t>
      </w:r>
      <w:r w:rsidRPr="007045D0">
        <w:rPr>
          <w:rFonts w:ascii="Arial" w:hAnsi="Arial" w:cs="Arial"/>
        </w:rPr>
        <w:tab/>
      </w:r>
      <w:r w:rsidR="00A538C0" w:rsidRPr="007045D0">
        <w:rPr>
          <w:rFonts w:ascii="Arial" w:hAnsi="Arial" w:cs="Arial"/>
          <w:u w:val="single"/>
        </w:rPr>
        <w:t>Veřejné služby v objednávce MD (dálkové vlaky)</w:t>
      </w:r>
    </w:p>
    <w:p w:rsidR="00A538C0" w:rsidRPr="007045D0" w:rsidRDefault="00A538C0"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 xml:space="preserve">Znění stávajících smluv o veřejných službách s dopravci je následující: </w:t>
      </w:r>
      <w:r w:rsidRPr="007045D0">
        <w:rPr>
          <w:rFonts w:ascii="Arial" w:hAnsi="Arial" w:cs="Arial"/>
          <w:i/>
        </w:rPr>
        <w:t>„Dopravce deklaruje, že v rámci výchozího finančního modelu, který je přílohou č. 3A Smlouvy, předpokládal podmínky cenové regulace platné v době podání nabídky. Konkrétně to znamená, že</w:t>
      </w:r>
    </w:p>
    <w:p w:rsidR="00A538C0" w:rsidRPr="007045D0" w:rsidRDefault="00A538C0" w:rsidP="00306691">
      <w:pPr>
        <w:pStyle w:val="Odstavecseseznamem"/>
        <w:numPr>
          <w:ilvl w:val="0"/>
          <w:numId w:val="20"/>
        </w:numPr>
        <w:tabs>
          <w:tab w:val="left" w:pos="993"/>
        </w:tabs>
        <w:spacing w:after="120" w:line="240" w:lineRule="auto"/>
        <w:ind w:left="993" w:hanging="426"/>
        <w:contextualSpacing w:val="0"/>
        <w:jc w:val="both"/>
        <w:rPr>
          <w:rFonts w:ascii="Arial" w:eastAsia="Times New Roman" w:hAnsi="Arial" w:cs="Arial"/>
          <w:i/>
          <w:color w:val="000000"/>
          <w:lang w:eastAsia="cs-CZ"/>
        </w:rPr>
      </w:pPr>
      <w:r w:rsidRPr="007045D0">
        <w:rPr>
          <w:rFonts w:ascii="Arial" w:eastAsia="Times New Roman" w:hAnsi="Arial" w:cs="Arial"/>
          <w:i/>
          <w:color w:val="000000"/>
          <w:lang w:eastAsia="cs-CZ"/>
        </w:rPr>
        <w:t>„nově nařízené“ slevy (od 1. září 2018) nejsou hrazeny v rámci této Smlouvy, nýbrž zvláštním procesem; Smlouva z hlediska výchozího finančního modelu proto předpokládá stav, ve kterém tyto slevy nejsou nařizovány, a</w:t>
      </w:r>
    </w:p>
    <w:p w:rsidR="00A538C0" w:rsidRPr="007045D0" w:rsidRDefault="00A538C0" w:rsidP="00306691">
      <w:pPr>
        <w:pStyle w:val="Odstavecseseznamem"/>
        <w:numPr>
          <w:ilvl w:val="0"/>
          <w:numId w:val="20"/>
        </w:numPr>
        <w:tabs>
          <w:tab w:val="left" w:pos="993"/>
        </w:tabs>
        <w:spacing w:after="120" w:line="240" w:lineRule="auto"/>
        <w:ind w:left="993" w:hanging="426"/>
        <w:contextualSpacing w:val="0"/>
        <w:jc w:val="both"/>
        <w:rPr>
          <w:rFonts w:ascii="Arial" w:eastAsia="Times New Roman" w:hAnsi="Arial" w:cs="Arial"/>
          <w:color w:val="000000"/>
          <w:lang w:eastAsia="cs-CZ"/>
        </w:rPr>
      </w:pPr>
      <w:r w:rsidRPr="007045D0">
        <w:rPr>
          <w:rFonts w:ascii="Arial" w:eastAsia="Times New Roman" w:hAnsi="Arial" w:cs="Arial"/>
          <w:i/>
          <w:color w:val="000000"/>
          <w:lang w:eastAsia="cs-CZ"/>
        </w:rPr>
        <w:t>u ostatních státem nařízených slev (dětí do šesti let, zdravotně postižených občanů a jejich průvodců a rodiče navštěvujících děti v ústavech) je jejich poskytování zahrnuto ve výchozím finančním modelu této Smlouvy.“</w:t>
      </w:r>
    </w:p>
    <w:p w:rsidR="00A538C0" w:rsidRPr="007045D0" w:rsidRDefault="00A538C0"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Uvedené ustanovení ve svém důsledku znamená, že pokud státem nařízené slevy omezí nebo zcela zruší, nebude mít tato skutečnost přímý vliv na smlouvy o veřejných službách v objednávce státu. S ohledem na netto charakter smluv se jedná o riziko dopravců, jakým způsobem kalkulovali dopočet výnosů v rámci závazkových vztahů. Po omezení nebo zrušení slev se adekvátně upraví nebo zruší režim kompenzací za tyto slevy, nicméně smlouvy o veřejných službách budou pokračovat beze změny.</w:t>
      </w:r>
    </w:p>
    <w:p w:rsidR="001552BF" w:rsidRPr="007045D0" w:rsidRDefault="001552BF" w:rsidP="00C20FEB">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Je však korektní uvést, že dopravci budou vnímat omezení či zrušení sl</w:t>
      </w:r>
      <w:r w:rsidR="00E02D5E" w:rsidRPr="007045D0">
        <w:rPr>
          <w:rFonts w:ascii="Arial" w:hAnsi="Arial" w:cs="Arial"/>
        </w:rPr>
        <w:t>ev</w:t>
      </w:r>
      <w:r w:rsidRPr="007045D0">
        <w:rPr>
          <w:rFonts w:ascii="Arial" w:hAnsi="Arial" w:cs="Arial"/>
        </w:rPr>
        <w:t xml:space="preserve"> velmi negativně, protože </w:t>
      </w:r>
      <w:r w:rsidR="00E02D5E" w:rsidRPr="007045D0">
        <w:rPr>
          <w:rFonts w:ascii="Arial" w:hAnsi="Arial" w:cs="Arial"/>
        </w:rPr>
        <w:t>pravděpodobně</w:t>
      </w:r>
      <w:r w:rsidRPr="007045D0">
        <w:rPr>
          <w:rFonts w:ascii="Arial" w:hAnsi="Arial" w:cs="Arial"/>
        </w:rPr>
        <w:t xml:space="preserve"> poklesne počet cestujících ve vlacích, a to i přesto, že dopravci na komerčním základě režim slev pro žáky, studenty i důchodce zřejmě zavedou (stejně jako tomu bylo před rokem 2018). Po skončení současných smluv o veřejných službách mohou dopravci snížit odhad výnosů ve výchozích finančních modelech.</w:t>
      </w:r>
      <w:r w:rsidR="00716062" w:rsidRPr="007045D0">
        <w:rPr>
          <w:rFonts w:ascii="Arial" w:hAnsi="Arial" w:cs="Arial"/>
        </w:rPr>
        <w:t xml:space="preserve"> </w:t>
      </w:r>
      <w:r w:rsidR="00716062" w:rsidRPr="007045D0">
        <w:rPr>
          <w:rFonts w:ascii="Arial" w:hAnsi="Arial" w:cs="Arial"/>
          <w:b/>
          <w:color w:val="002060"/>
        </w:rPr>
        <w:t>Proto</w:t>
      </w:r>
      <w:r w:rsidRPr="007045D0">
        <w:rPr>
          <w:rFonts w:ascii="Arial" w:hAnsi="Arial" w:cs="Arial"/>
          <w:b/>
          <w:color w:val="002060"/>
        </w:rPr>
        <w:t xml:space="preserve"> </w:t>
      </w:r>
      <w:r w:rsidR="0017100B" w:rsidRPr="007045D0">
        <w:rPr>
          <w:rFonts w:ascii="Arial" w:hAnsi="Arial" w:cs="Arial"/>
          <w:b/>
          <w:color w:val="002060"/>
        </w:rPr>
        <w:t xml:space="preserve">lze </w:t>
      </w:r>
      <w:r w:rsidRPr="007045D0">
        <w:rPr>
          <w:rFonts w:ascii="Arial" w:hAnsi="Arial" w:cs="Arial"/>
          <w:b/>
          <w:color w:val="002060"/>
        </w:rPr>
        <w:t>předpokládat, že</w:t>
      </w:r>
      <w:r w:rsidR="00A538C0" w:rsidRPr="007045D0">
        <w:rPr>
          <w:rFonts w:ascii="Arial" w:hAnsi="Arial" w:cs="Arial"/>
          <w:b/>
          <w:color w:val="002060"/>
        </w:rPr>
        <w:t> </w:t>
      </w:r>
      <w:r w:rsidRPr="007045D0">
        <w:rPr>
          <w:rFonts w:ascii="Arial" w:hAnsi="Arial" w:cs="Arial"/>
          <w:b/>
          <w:color w:val="002060"/>
        </w:rPr>
        <w:t xml:space="preserve">přinejmenším </w:t>
      </w:r>
      <w:r w:rsidR="00716062" w:rsidRPr="007045D0">
        <w:rPr>
          <w:rFonts w:ascii="Arial" w:hAnsi="Arial" w:cs="Arial"/>
          <w:b/>
          <w:color w:val="002060"/>
        </w:rPr>
        <w:t xml:space="preserve">o </w:t>
      </w:r>
      <w:r w:rsidRPr="007045D0">
        <w:rPr>
          <w:rFonts w:ascii="Arial" w:hAnsi="Arial" w:cs="Arial"/>
          <w:b/>
          <w:color w:val="002060"/>
        </w:rPr>
        <w:t>čás</w:t>
      </w:r>
      <w:r w:rsidR="00295E7E" w:rsidRPr="007045D0">
        <w:rPr>
          <w:rFonts w:ascii="Arial" w:hAnsi="Arial" w:cs="Arial"/>
          <w:b/>
          <w:color w:val="002060"/>
        </w:rPr>
        <w:t xml:space="preserve">t prostředků za ušetřené slevy </w:t>
      </w:r>
      <w:r w:rsidRPr="007045D0">
        <w:rPr>
          <w:rFonts w:ascii="Arial" w:hAnsi="Arial" w:cs="Arial"/>
          <w:b/>
          <w:color w:val="002060"/>
        </w:rPr>
        <w:t>výnosy poklesnou a v konečném důsledku skončí úhradou od objednatele.</w:t>
      </w:r>
      <w:r w:rsidRPr="007045D0">
        <w:rPr>
          <w:rFonts w:ascii="Arial" w:hAnsi="Arial" w:cs="Arial"/>
          <w:color w:val="002060"/>
        </w:rPr>
        <w:t xml:space="preserve"> </w:t>
      </w:r>
      <w:r w:rsidR="00295E7E" w:rsidRPr="007045D0">
        <w:rPr>
          <w:rFonts w:ascii="Arial" w:hAnsi="Arial" w:cs="Arial"/>
        </w:rPr>
        <w:t xml:space="preserve">Dopad v případě omezení slev není lineární, protože například v případě částečného omezení slev (např. ze 75 na 50 %) bude jediným dopadem snížení počtu cestujících, který lze očekávat cca v rozsahu 10 %. Pokud dojde k výraznějšímu omezení slev (např. ze 75 % na 25 %), lze snížení počtu cestujících očekávat ve větším </w:t>
      </w:r>
      <w:r w:rsidR="00A64CDF" w:rsidRPr="007045D0">
        <w:rPr>
          <w:rFonts w:ascii="Arial" w:hAnsi="Arial" w:cs="Arial"/>
        </w:rPr>
        <w:t>než lineárním rozsahu, odhadem 30 </w:t>
      </w:r>
      <w:r w:rsidR="00295E7E" w:rsidRPr="007045D0">
        <w:rPr>
          <w:rFonts w:ascii="Arial" w:hAnsi="Arial" w:cs="Arial"/>
        </w:rPr>
        <w:t>%. Pokud by slevy byly zrušeny úplně, dopad by byl jak z hlediska počtu cestujících, tak z hlediska výnosnosti specifických skupin cestujících, kteří dnes požívají výhod státních slev</w:t>
      </w:r>
      <w:r w:rsidR="00563348" w:rsidRPr="007045D0">
        <w:rPr>
          <w:rFonts w:ascii="Arial" w:hAnsi="Arial" w:cs="Arial"/>
        </w:rPr>
        <w:t xml:space="preserve">. Protože výnosy </w:t>
      </w:r>
      <w:r w:rsidR="00295E7E" w:rsidRPr="007045D0">
        <w:rPr>
          <w:rFonts w:ascii="Arial" w:hAnsi="Arial" w:cs="Arial"/>
        </w:rPr>
        <w:t xml:space="preserve">jsou </w:t>
      </w:r>
      <w:r w:rsidR="00563348" w:rsidRPr="007045D0">
        <w:rPr>
          <w:rFonts w:ascii="Arial" w:hAnsi="Arial" w:cs="Arial"/>
        </w:rPr>
        <w:t xml:space="preserve">dány </w:t>
      </w:r>
      <w:r w:rsidR="00295E7E" w:rsidRPr="007045D0">
        <w:rPr>
          <w:rFonts w:ascii="Arial" w:hAnsi="Arial" w:cs="Arial"/>
        </w:rPr>
        <w:t>násobkem počtu cestujících a jejich průměrného výnosu</w:t>
      </w:r>
      <w:r w:rsidR="00563348" w:rsidRPr="007045D0">
        <w:rPr>
          <w:rFonts w:ascii="Arial" w:hAnsi="Arial" w:cs="Arial"/>
        </w:rPr>
        <w:t>,</w:t>
      </w:r>
      <w:r w:rsidR="00295E7E" w:rsidRPr="007045D0">
        <w:rPr>
          <w:rFonts w:ascii="Arial" w:hAnsi="Arial" w:cs="Arial"/>
        </w:rPr>
        <w:t xml:space="preserve"> dosahoval </w:t>
      </w:r>
      <w:r w:rsidR="00563348" w:rsidRPr="007045D0">
        <w:rPr>
          <w:rFonts w:ascii="Arial" w:hAnsi="Arial" w:cs="Arial"/>
        </w:rPr>
        <w:t xml:space="preserve">by dopad </w:t>
      </w:r>
      <w:r w:rsidR="00295E7E" w:rsidRPr="007045D0">
        <w:rPr>
          <w:rFonts w:ascii="Arial" w:hAnsi="Arial" w:cs="Arial"/>
        </w:rPr>
        <w:t>hrubým odhadem 55 % současných plateb za nařízené slevy.</w:t>
      </w:r>
    </w:p>
    <w:p w:rsidR="00A538C0" w:rsidRPr="007045D0" w:rsidRDefault="003445EC" w:rsidP="00306691">
      <w:pPr>
        <w:widowControl w:val="0"/>
        <w:tabs>
          <w:tab w:val="left" w:pos="567"/>
        </w:tabs>
        <w:autoSpaceDE w:val="0"/>
        <w:autoSpaceDN w:val="0"/>
        <w:adjustRightInd w:val="0"/>
        <w:spacing w:after="120" w:line="240" w:lineRule="auto"/>
        <w:jc w:val="both"/>
        <w:rPr>
          <w:rFonts w:ascii="Arial" w:hAnsi="Arial" w:cs="Arial"/>
          <w:u w:val="single"/>
        </w:rPr>
      </w:pPr>
      <w:r w:rsidRPr="007045D0">
        <w:rPr>
          <w:rFonts w:ascii="Arial" w:hAnsi="Arial" w:cs="Arial"/>
        </w:rPr>
        <w:t>3.2.3</w:t>
      </w:r>
      <w:r w:rsidRPr="007045D0">
        <w:rPr>
          <w:rFonts w:ascii="Arial" w:hAnsi="Arial" w:cs="Arial"/>
        </w:rPr>
        <w:tab/>
      </w:r>
      <w:r w:rsidR="00A538C0" w:rsidRPr="007045D0">
        <w:rPr>
          <w:rFonts w:ascii="Arial" w:hAnsi="Arial" w:cs="Arial"/>
          <w:u w:val="single"/>
        </w:rPr>
        <w:t>Veřejné služby v objednávce krajů (regionální vlaky a autobusy)</w:t>
      </w:r>
    </w:p>
    <w:p w:rsidR="001552BF" w:rsidRPr="007045D0" w:rsidRDefault="00A538C0"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Jak už bylo uvedeno výše, p</w:t>
      </w:r>
      <w:r w:rsidR="001552BF" w:rsidRPr="007045D0">
        <w:rPr>
          <w:rFonts w:ascii="Arial" w:hAnsi="Arial" w:cs="Arial"/>
        </w:rPr>
        <w:t>ro posouzení je zásadní, zda má objednatel sjednánu „brutto“</w:t>
      </w:r>
      <w:r w:rsidR="00CA2D9C" w:rsidRPr="007045D0">
        <w:rPr>
          <w:rFonts w:ascii="Arial" w:hAnsi="Arial" w:cs="Arial"/>
        </w:rPr>
        <w:t xml:space="preserve"> smlouvu</w:t>
      </w:r>
      <w:r w:rsidR="001552BF" w:rsidRPr="007045D0">
        <w:rPr>
          <w:rFonts w:ascii="Arial" w:hAnsi="Arial" w:cs="Arial"/>
        </w:rPr>
        <w:t>, která přenáší rizika a příležitosti spojená s výší výnosů na objednatele</w:t>
      </w:r>
      <w:r w:rsidR="00342EB2" w:rsidRPr="007045D0">
        <w:rPr>
          <w:rFonts w:ascii="Arial" w:hAnsi="Arial" w:cs="Arial"/>
        </w:rPr>
        <w:t>,</w:t>
      </w:r>
      <w:r w:rsidR="001552BF" w:rsidRPr="007045D0">
        <w:rPr>
          <w:rFonts w:ascii="Arial" w:hAnsi="Arial" w:cs="Arial"/>
        </w:rPr>
        <w:t xml:space="preserve"> nebo „netto“</w:t>
      </w:r>
      <w:r w:rsidR="00CA2D9C" w:rsidRPr="007045D0">
        <w:rPr>
          <w:rFonts w:ascii="Arial" w:hAnsi="Arial" w:cs="Arial"/>
        </w:rPr>
        <w:t xml:space="preserve"> smlouvu</w:t>
      </w:r>
      <w:r w:rsidR="001552BF" w:rsidRPr="007045D0">
        <w:rPr>
          <w:rFonts w:ascii="Arial" w:hAnsi="Arial" w:cs="Arial"/>
        </w:rPr>
        <w:t>, kde je riziko spojené s výnosy na straně dopravce. Základní filosofie IDS spočívá zpravidla v „brutto</w:t>
      </w:r>
      <w:r w:rsidR="00CA2D9C" w:rsidRPr="007045D0">
        <w:rPr>
          <w:rFonts w:ascii="Arial" w:hAnsi="Arial" w:cs="Arial"/>
        </w:rPr>
        <w:t>“</w:t>
      </w:r>
      <w:r w:rsidR="00342EB2" w:rsidRPr="007045D0">
        <w:rPr>
          <w:rFonts w:ascii="Arial" w:hAnsi="Arial" w:cs="Arial"/>
        </w:rPr>
        <w:t xml:space="preserve"> režimu</w:t>
      </w:r>
      <w:r w:rsidR="001552BF" w:rsidRPr="007045D0">
        <w:rPr>
          <w:rFonts w:ascii="Arial" w:hAnsi="Arial" w:cs="Arial"/>
        </w:rPr>
        <w:t>, protože objednatel chce mít kontrolu nad nastavením tarifu. Naopak „netto</w:t>
      </w:r>
      <w:r w:rsidR="00CA2D9C" w:rsidRPr="007045D0">
        <w:rPr>
          <w:rFonts w:ascii="Arial" w:hAnsi="Arial" w:cs="Arial"/>
        </w:rPr>
        <w:t xml:space="preserve">“ </w:t>
      </w:r>
      <w:r w:rsidR="001552BF" w:rsidRPr="007045D0">
        <w:rPr>
          <w:rFonts w:ascii="Arial" w:hAnsi="Arial" w:cs="Arial"/>
        </w:rPr>
        <w:t>princip je užíván především v oblasti dálkové dopravy, kde je zásadní motivace dopravce přitáhnout co nejvíce zákazníků (kvalitou služeb i citlivou cenovou politikou). Lze uvést, že postupně u krajů převažují „brutto</w:t>
      </w:r>
      <w:r w:rsidR="00CA2D9C" w:rsidRPr="007045D0">
        <w:rPr>
          <w:rFonts w:ascii="Arial" w:hAnsi="Arial" w:cs="Arial"/>
        </w:rPr>
        <w:t>“</w:t>
      </w:r>
      <w:r w:rsidR="001552BF" w:rsidRPr="007045D0">
        <w:rPr>
          <w:rFonts w:ascii="Arial" w:hAnsi="Arial" w:cs="Arial"/>
        </w:rPr>
        <w:t xml:space="preserve"> smlouvy.</w:t>
      </w:r>
    </w:p>
    <w:p w:rsidR="001552BF" w:rsidRPr="007045D0" w:rsidRDefault="001552BF"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U „brutto</w:t>
      </w:r>
      <w:r w:rsidR="00CA2D9C" w:rsidRPr="007045D0">
        <w:rPr>
          <w:rFonts w:ascii="Arial" w:hAnsi="Arial" w:cs="Arial"/>
        </w:rPr>
        <w:t xml:space="preserve">“ </w:t>
      </w:r>
      <w:r w:rsidRPr="007045D0">
        <w:rPr>
          <w:rFonts w:ascii="Arial" w:hAnsi="Arial" w:cs="Arial"/>
        </w:rPr>
        <w:t xml:space="preserve">smluv je výnosová strana, která je rizikem a příležitostí objednatele (kraj či obec), nyní tvořena výnosy od cestujících, kompenzací za veřejné služby a kompenzací státních slev. Pokud budou </w:t>
      </w:r>
      <w:r w:rsidR="00CA2D9C" w:rsidRPr="007045D0">
        <w:rPr>
          <w:rFonts w:ascii="Arial" w:hAnsi="Arial" w:cs="Arial"/>
        </w:rPr>
        <w:t xml:space="preserve">nařízené </w:t>
      </w:r>
      <w:r w:rsidRPr="007045D0">
        <w:rPr>
          <w:rFonts w:ascii="Arial" w:hAnsi="Arial" w:cs="Arial"/>
        </w:rPr>
        <w:t>státní slevy omezeny nebo zrušeny, tento třetí zdroj finančních prostředků bude omezen nebo zrušen a kraje si s takovou situací budou muset poradit</w:t>
      </w:r>
      <w:r w:rsidR="002235E5" w:rsidRPr="007045D0">
        <w:rPr>
          <w:rFonts w:ascii="Arial" w:hAnsi="Arial" w:cs="Arial"/>
        </w:rPr>
        <w:t>.</w:t>
      </w:r>
      <w:r w:rsidRPr="007045D0">
        <w:rPr>
          <w:rFonts w:ascii="Arial" w:hAnsi="Arial" w:cs="Arial"/>
        </w:rPr>
        <w:t xml:space="preserve"> </w:t>
      </w:r>
      <w:r w:rsidR="00FC24EA" w:rsidRPr="007045D0">
        <w:rPr>
          <w:rFonts w:ascii="Arial" w:hAnsi="Arial" w:cs="Arial"/>
        </w:rPr>
        <w:t xml:space="preserve">Tato adaptace může proběhnout </w:t>
      </w:r>
      <w:r w:rsidR="00EF3B5D" w:rsidRPr="007045D0">
        <w:rPr>
          <w:rFonts w:ascii="Arial" w:hAnsi="Arial" w:cs="Arial"/>
        </w:rPr>
        <w:t xml:space="preserve">jen dvěma způsoby: </w:t>
      </w:r>
      <w:r w:rsidR="00FC24EA" w:rsidRPr="007045D0">
        <w:rPr>
          <w:rFonts w:ascii="Arial" w:hAnsi="Arial" w:cs="Arial"/>
        </w:rPr>
        <w:t>b</w:t>
      </w:r>
      <w:r w:rsidRPr="007045D0">
        <w:rPr>
          <w:rFonts w:ascii="Arial" w:hAnsi="Arial" w:cs="Arial"/>
        </w:rPr>
        <w:t>uďto zvýšením výběru výnosů od cestujících</w:t>
      </w:r>
      <w:r w:rsidR="002235E5" w:rsidRPr="007045D0">
        <w:rPr>
          <w:rFonts w:ascii="Arial" w:hAnsi="Arial" w:cs="Arial"/>
        </w:rPr>
        <w:t>, což by mělo automaticky nastat omezením nařízené slevy (cestující zaplatí větší díl z jízdného)</w:t>
      </w:r>
      <w:r w:rsidR="00FC24EA" w:rsidRPr="007045D0">
        <w:rPr>
          <w:rFonts w:ascii="Arial" w:hAnsi="Arial" w:cs="Arial"/>
        </w:rPr>
        <w:t>, p</w:t>
      </w:r>
      <w:r w:rsidR="002235E5" w:rsidRPr="007045D0">
        <w:rPr>
          <w:rFonts w:ascii="Arial" w:hAnsi="Arial" w:cs="Arial"/>
        </w:rPr>
        <w:t xml:space="preserve">okud by to však znamenalo </w:t>
      </w:r>
      <w:r w:rsidR="00FC24EA" w:rsidRPr="007045D0">
        <w:rPr>
          <w:rFonts w:ascii="Arial" w:hAnsi="Arial" w:cs="Arial"/>
        </w:rPr>
        <w:t xml:space="preserve">výrazný </w:t>
      </w:r>
      <w:r w:rsidR="002235E5" w:rsidRPr="007045D0">
        <w:rPr>
          <w:rFonts w:ascii="Arial" w:hAnsi="Arial" w:cs="Arial"/>
        </w:rPr>
        <w:t xml:space="preserve">úbytek cestujících, bude nutné, aby </w:t>
      </w:r>
      <w:r w:rsidR="00EF3B5D" w:rsidRPr="007045D0">
        <w:rPr>
          <w:rFonts w:ascii="Arial" w:hAnsi="Arial" w:cs="Arial"/>
        </w:rPr>
        <w:t xml:space="preserve">dopravce, popř. častěji u „brutto“ smluv </w:t>
      </w:r>
      <w:r w:rsidR="002235E5" w:rsidRPr="007045D0">
        <w:rPr>
          <w:rFonts w:ascii="Arial" w:hAnsi="Arial" w:cs="Arial"/>
        </w:rPr>
        <w:t>kraj</w:t>
      </w:r>
      <w:r w:rsidR="00EF3B5D" w:rsidRPr="007045D0">
        <w:rPr>
          <w:rFonts w:ascii="Arial" w:hAnsi="Arial" w:cs="Arial"/>
        </w:rPr>
        <w:t>,</w:t>
      </w:r>
      <w:r w:rsidR="002235E5" w:rsidRPr="007045D0">
        <w:rPr>
          <w:rFonts w:ascii="Arial" w:hAnsi="Arial" w:cs="Arial"/>
        </w:rPr>
        <w:t xml:space="preserve"> </w:t>
      </w:r>
      <w:r w:rsidR="00FC24EA" w:rsidRPr="007045D0">
        <w:rPr>
          <w:rFonts w:ascii="Arial" w:hAnsi="Arial" w:cs="Arial"/>
        </w:rPr>
        <w:t xml:space="preserve">upravil </w:t>
      </w:r>
      <w:r w:rsidRPr="007045D0">
        <w:rPr>
          <w:rFonts w:ascii="Arial" w:hAnsi="Arial" w:cs="Arial"/>
        </w:rPr>
        <w:t>cen</w:t>
      </w:r>
      <w:r w:rsidR="002235E5" w:rsidRPr="007045D0">
        <w:rPr>
          <w:rFonts w:ascii="Arial" w:hAnsi="Arial" w:cs="Arial"/>
        </w:rPr>
        <w:t>y</w:t>
      </w:r>
      <w:r w:rsidRPr="007045D0">
        <w:rPr>
          <w:rFonts w:ascii="Arial" w:hAnsi="Arial" w:cs="Arial"/>
        </w:rPr>
        <w:t xml:space="preserve"> jízdného</w:t>
      </w:r>
      <w:r w:rsidR="002235E5" w:rsidRPr="007045D0">
        <w:rPr>
          <w:rFonts w:ascii="Arial" w:hAnsi="Arial" w:cs="Arial"/>
        </w:rPr>
        <w:t>.</w:t>
      </w:r>
      <w:r w:rsidR="00FC24EA" w:rsidRPr="007045D0">
        <w:rPr>
          <w:rFonts w:ascii="Arial" w:hAnsi="Arial" w:cs="Arial"/>
        </w:rPr>
        <w:t xml:space="preserve"> </w:t>
      </w:r>
      <w:r w:rsidR="00EF3B5D" w:rsidRPr="007045D0">
        <w:rPr>
          <w:rFonts w:ascii="Arial" w:hAnsi="Arial" w:cs="Arial"/>
        </w:rPr>
        <w:t xml:space="preserve">Pokud navýšené výnosy finanční mezeru nepokryjí, </w:t>
      </w:r>
      <w:r w:rsidRPr="007045D0">
        <w:rPr>
          <w:rFonts w:ascii="Arial" w:hAnsi="Arial" w:cs="Arial"/>
        </w:rPr>
        <w:t>bud</w:t>
      </w:r>
      <w:r w:rsidR="002235E5" w:rsidRPr="007045D0">
        <w:rPr>
          <w:rFonts w:ascii="Arial" w:hAnsi="Arial" w:cs="Arial"/>
        </w:rPr>
        <w:t>e</w:t>
      </w:r>
      <w:r w:rsidRPr="007045D0">
        <w:rPr>
          <w:rFonts w:ascii="Arial" w:hAnsi="Arial" w:cs="Arial"/>
        </w:rPr>
        <w:t xml:space="preserve"> muset </w:t>
      </w:r>
      <w:r w:rsidR="00EF3B5D" w:rsidRPr="007045D0">
        <w:rPr>
          <w:rFonts w:ascii="Arial" w:hAnsi="Arial" w:cs="Arial"/>
        </w:rPr>
        <w:t xml:space="preserve">v konečném důsledku </w:t>
      </w:r>
      <w:r w:rsidRPr="007045D0">
        <w:rPr>
          <w:rFonts w:ascii="Arial" w:hAnsi="Arial" w:cs="Arial"/>
        </w:rPr>
        <w:t xml:space="preserve">chybějící část </w:t>
      </w:r>
      <w:r w:rsidR="002235E5" w:rsidRPr="007045D0">
        <w:rPr>
          <w:rFonts w:ascii="Arial" w:hAnsi="Arial" w:cs="Arial"/>
        </w:rPr>
        <w:t xml:space="preserve">prostředků najít </w:t>
      </w:r>
      <w:r w:rsidR="00EF3B5D" w:rsidRPr="007045D0">
        <w:rPr>
          <w:rFonts w:ascii="Arial" w:hAnsi="Arial" w:cs="Arial"/>
        </w:rPr>
        <w:t xml:space="preserve">kraj </w:t>
      </w:r>
      <w:r w:rsidR="002235E5" w:rsidRPr="007045D0">
        <w:rPr>
          <w:rFonts w:ascii="Arial" w:hAnsi="Arial" w:cs="Arial"/>
        </w:rPr>
        <w:t>ve</w:t>
      </w:r>
      <w:r w:rsidRPr="007045D0">
        <w:rPr>
          <w:rFonts w:ascii="Arial" w:hAnsi="Arial" w:cs="Arial"/>
        </w:rPr>
        <w:t xml:space="preserve"> </w:t>
      </w:r>
      <w:r w:rsidR="002235E5" w:rsidRPr="007045D0">
        <w:rPr>
          <w:rFonts w:ascii="Arial" w:hAnsi="Arial" w:cs="Arial"/>
        </w:rPr>
        <w:t>svém rozpočtu</w:t>
      </w:r>
      <w:r w:rsidRPr="007045D0">
        <w:rPr>
          <w:rFonts w:ascii="Arial" w:hAnsi="Arial" w:cs="Arial"/>
        </w:rPr>
        <w:t>.</w:t>
      </w:r>
    </w:p>
    <w:p w:rsidR="00A538C0" w:rsidRPr="007045D0" w:rsidRDefault="001552BF"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 xml:space="preserve">Lze proto konstatovat, že systémy IDS zrušení či omezení slev nebudou vítat s nadšením, protože těmto dopravním svazům logicky vyhovuje stávající stav, kdy stát nařizuje slevy a dorovnává jejich dopady do výše obyčejného jízdného. V případě snížení rozsahu slev by byl i rozsah dofinancování státu nižší, v případě zrušení slev by stát kompenzaci slev přestal poskytovat zcela. Přestože by kraje režim určitých slev pro žáky, studenty i důchodce </w:t>
      </w:r>
      <w:r w:rsidR="0017100B" w:rsidRPr="007045D0">
        <w:rPr>
          <w:rFonts w:ascii="Arial" w:hAnsi="Arial" w:cs="Arial"/>
        </w:rPr>
        <w:t>jistě samy</w:t>
      </w:r>
      <w:r w:rsidRPr="007045D0">
        <w:rPr>
          <w:rFonts w:ascii="Arial" w:hAnsi="Arial" w:cs="Arial"/>
        </w:rPr>
        <w:t xml:space="preserve"> nastavily (jako tomu bylo v minulosti), výpadek kompenzací státu by byl pro ně velmi citelný. Lze proto očekávat, že systémy IDS budou bojovat za zachování stávajících slev. </w:t>
      </w:r>
    </w:p>
    <w:p w:rsidR="001552BF" w:rsidRPr="007045D0" w:rsidRDefault="001552BF" w:rsidP="00306691">
      <w:pPr>
        <w:pStyle w:val="Odstavecseseznamem"/>
        <w:numPr>
          <w:ilvl w:val="0"/>
          <w:numId w:val="10"/>
        </w:numPr>
        <w:spacing w:after="120" w:line="240" w:lineRule="auto"/>
        <w:ind w:left="567" w:hanging="567"/>
        <w:contextualSpacing w:val="0"/>
        <w:jc w:val="both"/>
        <w:rPr>
          <w:rFonts w:ascii="Arial" w:hAnsi="Arial" w:cs="Arial"/>
        </w:rPr>
      </w:pPr>
      <w:r w:rsidRPr="007045D0">
        <w:rPr>
          <w:rFonts w:ascii="Arial" w:hAnsi="Arial" w:cs="Arial"/>
        </w:rPr>
        <w:t xml:space="preserve">Pokud stát přistoupí k omezení slev, bude pro organizátory IDS velmi důležité, aby nový režim slev byl pokud možno jednotný a funkční. Z hlediska fungování dopravní systémů jde především o realizovatelnost, proto je vhodné se vyhnout technicky složitým řešením (např. zvláštním studentským průkazům). V případě zachování určité výše státem nařízených slev by jistě bylo přivítáno </w:t>
      </w:r>
      <w:r w:rsidR="00A538C0" w:rsidRPr="007045D0">
        <w:rPr>
          <w:rFonts w:ascii="Arial" w:hAnsi="Arial" w:cs="Arial"/>
        </w:rPr>
        <w:t>sjednocení slevových kategorií</w:t>
      </w:r>
      <w:r w:rsidRPr="007045D0">
        <w:rPr>
          <w:rFonts w:ascii="Arial" w:hAnsi="Arial" w:cs="Arial"/>
        </w:rPr>
        <w:t>.</w:t>
      </w:r>
    </w:p>
    <w:p w:rsidR="001552BF" w:rsidRPr="007045D0" w:rsidRDefault="001552BF" w:rsidP="005950C9">
      <w:pPr>
        <w:pStyle w:val="Odstavecseseznamem"/>
        <w:numPr>
          <w:ilvl w:val="0"/>
          <w:numId w:val="10"/>
        </w:numPr>
        <w:spacing w:after="120" w:line="240" w:lineRule="auto"/>
        <w:ind w:left="567" w:hanging="567"/>
        <w:contextualSpacing w:val="0"/>
        <w:jc w:val="both"/>
        <w:rPr>
          <w:rFonts w:ascii="Arial" w:hAnsi="Arial" w:cs="Arial"/>
          <w:b/>
          <w:color w:val="002060"/>
        </w:rPr>
      </w:pPr>
      <w:r w:rsidRPr="007045D0">
        <w:rPr>
          <w:rFonts w:ascii="Arial" w:hAnsi="Arial" w:cs="Arial"/>
        </w:rPr>
        <w:t>Chceme-li provést alespoň hrubý odhad dopadů jednotlivých variant v této klíčové oblasti poskytování státních slev, pak lze očekávat, že státní rozpočet uspoří částku odpovídající alikvotní části poskytovaných kompenzací za státní slevy. Určitou část těchto prostředků však v konečném důsledku budou muset zaplatit kraje.</w:t>
      </w:r>
      <w:r w:rsidR="00295E7E" w:rsidRPr="007045D0">
        <w:rPr>
          <w:rFonts w:ascii="Arial" w:hAnsi="Arial" w:cs="Arial"/>
        </w:rPr>
        <w:t xml:space="preserve"> </w:t>
      </w:r>
      <w:r w:rsidR="00295E7E" w:rsidRPr="007045D0">
        <w:rPr>
          <w:rFonts w:ascii="Arial" w:hAnsi="Arial" w:cs="Arial"/>
          <w:b/>
          <w:color w:val="002060"/>
        </w:rPr>
        <w:t xml:space="preserve">Tvar křivky </w:t>
      </w:r>
      <w:r w:rsidR="005950C9" w:rsidRPr="007045D0">
        <w:rPr>
          <w:rFonts w:ascii="Arial" w:hAnsi="Arial" w:cs="Arial"/>
          <w:b/>
          <w:color w:val="002060"/>
        </w:rPr>
        <w:t>vícenákladů</w:t>
      </w:r>
      <w:r w:rsidR="00295E7E" w:rsidRPr="007045D0">
        <w:rPr>
          <w:rFonts w:ascii="Arial" w:hAnsi="Arial" w:cs="Arial"/>
          <w:b/>
          <w:color w:val="002060"/>
        </w:rPr>
        <w:t xml:space="preserve"> bude rámcově podobný jako u</w:t>
      </w:r>
      <w:r w:rsidR="005950C9" w:rsidRPr="007045D0">
        <w:rPr>
          <w:rFonts w:ascii="Arial" w:hAnsi="Arial" w:cs="Arial"/>
          <w:b/>
          <w:color w:val="002060"/>
        </w:rPr>
        <w:t> </w:t>
      </w:r>
      <w:r w:rsidR="00295E7E" w:rsidRPr="007045D0">
        <w:rPr>
          <w:rFonts w:ascii="Arial" w:hAnsi="Arial" w:cs="Arial"/>
          <w:b/>
          <w:color w:val="002060"/>
        </w:rPr>
        <w:t>státní objednávky</w:t>
      </w:r>
      <w:r w:rsidR="00E55605">
        <w:rPr>
          <w:rFonts w:ascii="Arial" w:hAnsi="Arial" w:cs="Arial"/>
          <w:b/>
          <w:color w:val="002060"/>
        </w:rPr>
        <w:t xml:space="preserve"> (viz </w:t>
      </w:r>
      <w:r w:rsidR="00E55605" w:rsidRPr="00D905A8">
        <w:rPr>
          <w:rFonts w:ascii="Arial" w:hAnsi="Arial" w:cs="Arial"/>
          <w:b/>
          <w:color w:val="002060"/>
        </w:rPr>
        <w:t>bod 49</w:t>
      </w:r>
      <w:r w:rsidR="005950C9" w:rsidRPr="007045D0">
        <w:rPr>
          <w:rFonts w:ascii="Arial" w:hAnsi="Arial" w:cs="Arial"/>
          <w:b/>
          <w:color w:val="002060"/>
        </w:rPr>
        <w:t>)</w:t>
      </w:r>
      <w:r w:rsidR="00295E7E" w:rsidRPr="007045D0">
        <w:rPr>
          <w:rFonts w:ascii="Arial" w:hAnsi="Arial" w:cs="Arial"/>
        </w:rPr>
        <w:t>, dopady budou tedy malé (</w:t>
      </w:r>
      <w:r w:rsidR="005950C9" w:rsidRPr="007045D0">
        <w:rPr>
          <w:rFonts w:ascii="Arial" w:hAnsi="Arial" w:cs="Arial"/>
        </w:rPr>
        <w:t xml:space="preserve">asi </w:t>
      </w:r>
      <w:r w:rsidR="00295E7E" w:rsidRPr="007045D0">
        <w:rPr>
          <w:rFonts w:ascii="Arial" w:hAnsi="Arial" w:cs="Arial"/>
        </w:rPr>
        <w:t>10 %) v případě omezení slev ze 75 % na 50</w:t>
      </w:r>
      <w:r w:rsidR="005950C9" w:rsidRPr="007045D0">
        <w:rPr>
          <w:rFonts w:ascii="Arial" w:hAnsi="Arial" w:cs="Arial"/>
        </w:rPr>
        <w:t> </w:t>
      </w:r>
      <w:r w:rsidR="00295E7E" w:rsidRPr="007045D0">
        <w:rPr>
          <w:rFonts w:ascii="Arial" w:hAnsi="Arial" w:cs="Arial"/>
        </w:rPr>
        <w:t>%</w:t>
      </w:r>
      <w:r w:rsidR="005950C9" w:rsidRPr="007045D0">
        <w:rPr>
          <w:rFonts w:ascii="Arial" w:hAnsi="Arial" w:cs="Arial"/>
        </w:rPr>
        <w:t xml:space="preserve">, ale porostou nelineárně a v případě úplného zrušení slev odhadujeme, že kraje by v důsledku poklesu počtu cestujících v předmětných skupinách obyvatel a jejich nižší jednotkové výnosnosti v konečném důsledku musely sanovat až 55 % současných kompenzací nařízených slev. Rozdílné je ovšem to, že zatímco u státní objednávky uvedený dopad naběhne postupně až s uzavíráním nových smluv o veřejných službách, v případě krajů, které mají uzavřeny brutto smlouvy, dopadá riziko změn výnosů (resp. zrušení či omezení kompenzace na slevy) na kraje bezprostředně. </w:t>
      </w:r>
      <w:r w:rsidR="00342EB2" w:rsidRPr="007045D0">
        <w:rPr>
          <w:rFonts w:ascii="Arial" w:hAnsi="Arial" w:cs="Arial"/>
        </w:rPr>
        <w:t>Je však potřeba opět upozornit na skutečnosti uvedené</w:t>
      </w:r>
      <w:r w:rsidR="00306691" w:rsidRPr="007045D0">
        <w:rPr>
          <w:rFonts w:ascii="Arial" w:hAnsi="Arial" w:cs="Arial"/>
        </w:rPr>
        <w:t xml:space="preserve"> výše</w:t>
      </w:r>
      <w:r w:rsidR="002663ED" w:rsidRPr="007045D0">
        <w:rPr>
          <w:rFonts w:ascii="Arial" w:hAnsi="Arial" w:cs="Arial"/>
        </w:rPr>
        <w:t>, tedy zejména fakt, že kraje určité prostředky na kompenzace slev ve</w:t>
      </w:r>
      <w:r w:rsidR="00306691" w:rsidRPr="007045D0">
        <w:rPr>
          <w:rFonts w:ascii="Arial" w:hAnsi="Arial" w:cs="Arial"/>
        </w:rPr>
        <w:t> </w:t>
      </w:r>
      <w:r w:rsidR="002663ED" w:rsidRPr="007045D0">
        <w:rPr>
          <w:rFonts w:ascii="Arial" w:hAnsi="Arial" w:cs="Arial"/>
        </w:rPr>
        <w:t>sdílených daních dostávají.</w:t>
      </w:r>
    </w:p>
    <w:p w:rsidR="003445EC" w:rsidRPr="007045D0" w:rsidRDefault="003445EC" w:rsidP="00306691">
      <w:pPr>
        <w:spacing w:after="120" w:line="240" w:lineRule="auto"/>
        <w:jc w:val="both"/>
        <w:rPr>
          <w:rFonts w:ascii="Arial" w:hAnsi="Arial" w:cs="Arial"/>
          <w:b/>
          <w:color w:val="002060"/>
          <w:u w:val="single"/>
        </w:rPr>
      </w:pPr>
    </w:p>
    <w:p w:rsidR="00A538C0" w:rsidRPr="007045D0" w:rsidRDefault="003445EC" w:rsidP="00306691">
      <w:pPr>
        <w:tabs>
          <w:tab w:val="left" w:pos="567"/>
        </w:tabs>
        <w:spacing w:after="120" w:line="240" w:lineRule="auto"/>
        <w:jc w:val="both"/>
        <w:rPr>
          <w:rFonts w:ascii="Arial" w:hAnsi="Arial" w:cs="Arial"/>
          <w:b/>
          <w:color w:val="002060"/>
        </w:rPr>
      </w:pPr>
      <w:r w:rsidRPr="007045D0">
        <w:rPr>
          <w:rFonts w:ascii="Arial" w:hAnsi="Arial" w:cs="Arial"/>
          <w:b/>
          <w:color w:val="002060"/>
        </w:rPr>
        <w:t>4.</w:t>
      </w:r>
      <w:r w:rsidRPr="007045D0">
        <w:rPr>
          <w:rFonts w:ascii="Arial" w:hAnsi="Arial" w:cs="Arial"/>
          <w:b/>
          <w:color w:val="002060"/>
        </w:rPr>
        <w:tab/>
      </w:r>
      <w:r w:rsidR="00AF267B" w:rsidRPr="007045D0">
        <w:rPr>
          <w:rFonts w:ascii="Arial" w:hAnsi="Arial" w:cs="Arial"/>
          <w:b/>
          <w:color w:val="002060"/>
        </w:rPr>
        <w:t xml:space="preserve">Technická stránka </w:t>
      </w:r>
      <w:r w:rsidR="00A538C0" w:rsidRPr="007045D0">
        <w:rPr>
          <w:rFonts w:ascii="Arial" w:hAnsi="Arial" w:cs="Arial"/>
          <w:b/>
          <w:color w:val="002060"/>
        </w:rPr>
        <w:t>úpravy slev z jízdného</w:t>
      </w:r>
    </w:p>
    <w:p w:rsidR="00AF267B" w:rsidRPr="007045D0" w:rsidRDefault="00AF267B" w:rsidP="00306691">
      <w:pPr>
        <w:pStyle w:val="Odstavecseseznamem"/>
        <w:numPr>
          <w:ilvl w:val="0"/>
          <w:numId w:val="10"/>
        </w:numPr>
        <w:spacing w:after="120" w:line="240" w:lineRule="auto"/>
        <w:ind w:left="567" w:hanging="567"/>
        <w:contextualSpacing w:val="0"/>
        <w:jc w:val="both"/>
        <w:rPr>
          <w:rFonts w:ascii="Arial" w:hAnsi="Arial" w:cs="Arial"/>
          <w:b/>
          <w:color w:val="002060"/>
        </w:rPr>
      </w:pPr>
      <w:r w:rsidRPr="007045D0">
        <w:rPr>
          <w:rFonts w:ascii="Arial" w:hAnsi="Arial" w:cs="Arial"/>
        </w:rPr>
        <w:t xml:space="preserve">Slevy z jízdného jsou vyhlašovány </w:t>
      </w:r>
      <w:r w:rsidRPr="007045D0">
        <w:rPr>
          <w:rFonts w:ascii="Arial" w:hAnsi="Arial" w:cs="Arial"/>
          <w:i/>
        </w:rPr>
        <w:t>výměrem Ministerstva financí (pro letošní rok č. 01/2021), kterým se vydává seznam zboží s regulovanými cenami</w:t>
      </w:r>
      <w:r w:rsidRPr="007045D0">
        <w:rPr>
          <w:rFonts w:ascii="Arial" w:hAnsi="Arial" w:cs="Arial"/>
        </w:rPr>
        <w:t xml:space="preserve"> (dále jen „Výměr MF“). Jejich případná úprava je tedy opět záležitostí tohoto předpisu. Je však potřeba upozornit, že Ministerstvo financí regulaci „nových slev“ (zavedených s účinností od 1. září 2018) vydalo na základě usnesení vlády ze dne 27. března 2018 č. 206. Proto by případné změně regulace měla předcházet změna příslušného usnesení vlády.</w:t>
      </w:r>
    </w:p>
    <w:p w:rsidR="00A538C0" w:rsidRPr="00D905A8" w:rsidRDefault="008B1651" w:rsidP="00306691">
      <w:pPr>
        <w:pStyle w:val="Odstavecseseznamem"/>
        <w:numPr>
          <w:ilvl w:val="0"/>
          <w:numId w:val="10"/>
        </w:numPr>
        <w:spacing w:after="120" w:line="240" w:lineRule="auto"/>
        <w:ind w:left="567" w:hanging="567"/>
        <w:contextualSpacing w:val="0"/>
        <w:jc w:val="both"/>
        <w:rPr>
          <w:rFonts w:ascii="Arial" w:hAnsi="Arial" w:cs="Arial"/>
          <w:b/>
        </w:rPr>
      </w:pPr>
      <w:r w:rsidRPr="007045D0">
        <w:rPr>
          <w:rFonts w:ascii="Arial" w:hAnsi="Arial" w:cs="Arial"/>
        </w:rPr>
        <w:t>Z</w:t>
      </w:r>
      <w:r w:rsidR="00AF267B" w:rsidRPr="007045D0">
        <w:rPr>
          <w:rFonts w:ascii="Arial" w:hAnsi="Arial" w:cs="Arial"/>
        </w:rPr>
        <w:t xml:space="preserve">měnu </w:t>
      </w:r>
      <w:r w:rsidR="00573D68" w:rsidRPr="007045D0">
        <w:rPr>
          <w:rFonts w:ascii="Arial" w:hAnsi="Arial" w:cs="Arial"/>
        </w:rPr>
        <w:t>nařízení slev není vhodné</w:t>
      </w:r>
      <w:r w:rsidR="00AF267B" w:rsidRPr="007045D0">
        <w:rPr>
          <w:rFonts w:ascii="Arial" w:hAnsi="Arial" w:cs="Arial"/>
        </w:rPr>
        <w:t xml:space="preserve"> provést ze dne na den (resp. pouze v rámci procesu projednání</w:t>
      </w:r>
      <w:r w:rsidRPr="007045D0">
        <w:rPr>
          <w:rFonts w:ascii="Arial" w:hAnsi="Arial" w:cs="Arial"/>
        </w:rPr>
        <w:t xml:space="preserve"> a schválení materiálu vládou</w:t>
      </w:r>
      <w:r w:rsidR="00AF267B" w:rsidRPr="007045D0">
        <w:rPr>
          <w:rFonts w:ascii="Arial" w:hAnsi="Arial" w:cs="Arial"/>
        </w:rPr>
        <w:t xml:space="preserve"> a následného vydán</w:t>
      </w:r>
      <w:r w:rsidRPr="007045D0">
        <w:rPr>
          <w:rFonts w:ascii="Arial" w:hAnsi="Arial" w:cs="Arial"/>
        </w:rPr>
        <w:t>í cenového výměru Ministerstva financí</w:t>
      </w:r>
      <w:r w:rsidR="00AF267B" w:rsidRPr="007045D0">
        <w:rPr>
          <w:rFonts w:ascii="Arial" w:hAnsi="Arial" w:cs="Arial"/>
        </w:rPr>
        <w:t>). Jak už bylo uvedeno, změna má zejména dopad na dopravce</w:t>
      </w:r>
      <w:r w:rsidRPr="007045D0">
        <w:rPr>
          <w:rFonts w:ascii="Arial" w:hAnsi="Arial" w:cs="Arial"/>
        </w:rPr>
        <w:t xml:space="preserve"> a objednatele</w:t>
      </w:r>
      <w:r w:rsidR="00AF267B" w:rsidRPr="007045D0">
        <w:rPr>
          <w:rFonts w:ascii="Arial" w:hAnsi="Arial" w:cs="Arial"/>
        </w:rPr>
        <w:t>, kteří musí novým po</w:t>
      </w:r>
      <w:r w:rsidRPr="007045D0">
        <w:rPr>
          <w:rFonts w:ascii="Arial" w:hAnsi="Arial" w:cs="Arial"/>
        </w:rPr>
        <w:t>dmínkám přizpůsobit své tarify,</w:t>
      </w:r>
      <w:r w:rsidR="00AF267B" w:rsidRPr="007045D0">
        <w:rPr>
          <w:rFonts w:ascii="Arial" w:hAnsi="Arial" w:cs="Arial"/>
        </w:rPr>
        <w:t xml:space="preserve"> smluvní a přepravní podmínky</w:t>
      </w:r>
      <w:r w:rsidRPr="007045D0">
        <w:rPr>
          <w:rFonts w:ascii="Arial" w:hAnsi="Arial" w:cs="Arial"/>
        </w:rPr>
        <w:t xml:space="preserve"> a finanční rámce</w:t>
      </w:r>
      <w:r w:rsidR="00AF267B" w:rsidRPr="007045D0">
        <w:rPr>
          <w:rFonts w:ascii="Arial" w:hAnsi="Arial" w:cs="Arial"/>
        </w:rPr>
        <w:t>. To je dále podmíněno přípravou, projednáním a schválením novelizace příslušných metodických pokynů k</w:t>
      </w:r>
      <w:r w:rsidRPr="007045D0">
        <w:rPr>
          <w:rFonts w:ascii="Arial" w:hAnsi="Arial" w:cs="Arial"/>
        </w:rPr>
        <w:t> </w:t>
      </w:r>
      <w:r w:rsidR="00AF267B" w:rsidRPr="007045D0">
        <w:rPr>
          <w:rFonts w:ascii="Arial" w:hAnsi="Arial" w:cs="Arial"/>
        </w:rPr>
        <w:t>uplatňování slev z jízdného a ke</w:t>
      </w:r>
      <w:r w:rsidR="007045D0">
        <w:rPr>
          <w:rFonts w:ascii="Arial" w:hAnsi="Arial" w:cs="Arial"/>
        </w:rPr>
        <w:t> </w:t>
      </w:r>
      <w:r w:rsidR="00AF267B" w:rsidRPr="007045D0">
        <w:rPr>
          <w:rFonts w:ascii="Arial" w:hAnsi="Arial" w:cs="Arial"/>
        </w:rPr>
        <w:t>kompenzacím ztrát dopravců z poskytování slev, které jsou v</w:t>
      </w:r>
      <w:r w:rsidRPr="007045D0">
        <w:rPr>
          <w:rFonts w:ascii="Arial" w:hAnsi="Arial" w:cs="Arial"/>
        </w:rPr>
        <w:t> kompetenci Ministerstva dopravy</w:t>
      </w:r>
      <w:r w:rsidR="00AF267B" w:rsidRPr="007045D0">
        <w:rPr>
          <w:rFonts w:ascii="Arial" w:hAnsi="Arial" w:cs="Arial"/>
        </w:rPr>
        <w:t>. V</w:t>
      </w:r>
      <w:r w:rsidRPr="007045D0">
        <w:rPr>
          <w:rFonts w:ascii="Arial" w:hAnsi="Arial" w:cs="Arial"/>
        </w:rPr>
        <w:t xml:space="preserve"> IDS </w:t>
      </w:r>
      <w:r w:rsidR="00AF267B" w:rsidRPr="007045D0">
        <w:rPr>
          <w:rFonts w:ascii="Arial" w:hAnsi="Arial" w:cs="Arial"/>
        </w:rPr>
        <w:t>je pak dopad ještě komplexnější, neboť vyžaduje projednání nových tarifů a přepravních podmínek v orgánech příslušných krajů. Dále je nutné akceptovat, že v rámci IDS mohou být již vytištěné a v prodeji dlouhodobé kupóny na časové (předplatní) jízdné, což se nyní bude týkat minimálně celého 1. pololetí roku 2022</w:t>
      </w:r>
      <w:r w:rsidR="00FA67B8" w:rsidRPr="00D905A8">
        <w:rPr>
          <w:rFonts w:ascii="Arial" w:hAnsi="Arial" w:cs="Arial"/>
          <w:color w:val="002060"/>
        </w:rPr>
        <w:t xml:space="preserve">. </w:t>
      </w:r>
      <w:r w:rsidR="00FA67B8" w:rsidRPr="00D905A8">
        <w:rPr>
          <w:rFonts w:ascii="Arial" w:hAnsi="Arial" w:cs="Arial"/>
        </w:rPr>
        <w:t xml:space="preserve">V případě Středočeského kraje </w:t>
      </w:r>
      <w:r w:rsidR="007045D0" w:rsidRPr="00D905A8">
        <w:rPr>
          <w:rFonts w:ascii="Arial" w:hAnsi="Arial" w:cs="Arial"/>
        </w:rPr>
        <w:t xml:space="preserve">se budou dopady týkat </w:t>
      </w:r>
      <w:r w:rsidR="00FA67B8" w:rsidRPr="00D905A8">
        <w:rPr>
          <w:rFonts w:ascii="Arial" w:hAnsi="Arial" w:cs="Arial"/>
        </w:rPr>
        <w:t>celého roku, neboť pro cestující do 18 let a starší 65 let jsou v prodeji roční předplatní doklady, a to i s klouzavou platností</w:t>
      </w:r>
      <w:r w:rsidR="00AF267B" w:rsidRPr="00D905A8">
        <w:rPr>
          <w:rFonts w:ascii="Arial" w:hAnsi="Arial" w:cs="Arial"/>
        </w:rPr>
        <w:t xml:space="preserve">. </w:t>
      </w:r>
      <w:r w:rsidR="00306691" w:rsidRPr="00D905A8">
        <w:rPr>
          <w:rFonts w:ascii="Arial" w:hAnsi="Arial" w:cs="Arial"/>
        </w:rPr>
        <w:t>Z</w:t>
      </w:r>
      <w:r w:rsidR="00AF267B" w:rsidRPr="00D905A8">
        <w:rPr>
          <w:rFonts w:ascii="Arial" w:hAnsi="Arial" w:cs="Arial"/>
        </w:rPr>
        <w:t xml:space="preserve">měny </w:t>
      </w:r>
      <w:r w:rsidR="00573D68" w:rsidRPr="00D905A8">
        <w:rPr>
          <w:rFonts w:ascii="Arial" w:hAnsi="Arial" w:cs="Arial"/>
        </w:rPr>
        <w:t>by bylo třeba</w:t>
      </w:r>
      <w:r w:rsidR="00306691" w:rsidRPr="00D905A8">
        <w:rPr>
          <w:rFonts w:ascii="Arial" w:hAnsi="Arial" w:cs="Arial"/>
        </w:rPr>
        <w:t xml:space="preserve"> </w:t>
      </w:r>
      <w:r w:rsidR="00AF267B" w:rsidRPr="00D905A8">
        <w:rPr>
          <w:rFonts w:ascii="Arial" w:hAnsi="Arial" w:cs="Arial"/>
        </w:rPr>
        <w:t>projednat a schválit v</w:t>
      </w:r>
      <w:r w:rsidR="007045D0" w:rsidRPr="00D905A8">
        <w:rPr>
          <w:rFonts w:ascii="Arial" w:hAnsi="Arial" w:cs="Arial"/>
        </w:rPr>
        <w:t> </w:t>
      </w:r>
      <w:r w:rsidR="00AF267B" w:rsidRPr="00D905A8">
        <w:rPr>
          <w:rFonts w:ascii="Arial" w:hAnsi="Arial" w:cs="Arial"/>
        </w:rPr>
        <w:t>co</w:t>
      </w:r>
      <w:r w:rsidR="007045D0" w:rsidRPr="00D905A8">
        <w:rPr>
          <w:rFonts w:ascii="Arial" w:hAnsi="Arial" w:cs="Arial"/>
        </w:rPr>
        <w:t> </w:t>
      </w:r>
      <w:r w:rsidR="00AF267B" w:rsidRPr="00D905A8">
        <w:rPr>
          <w:rFonts w:ascii="Arial" w:hAnsi="Arial" w:cs="Arial"/>
        </w:rPr>
        <w:t>možná největším předstihu před realizací.</w:t>
      </w:r>
    </w:p>
    <w:p w:rsidR="003445EC" w:rsidRPr="007045D0" w:rsidRDefault="003445EC" w:rsidP="00306691">
      <w:pPr>
        <w:spacing w:after="120" w:line="240" w:lineRule="auto"/>
        <w:jc w:val="both"/>
        <w:rPr>
          <w:rFonts w:ascii="Arial" w:hAnsi="Arial" w:cs="Arial"/>
        </w:rPr>
      </w:pPr>
    </w:p>
    <w:p w:rsidR="003445EC" w:rsidRPr="007045D0" w:rsidRDefault="003445EC" w:rsidP="00306691">
      <w:pPr>
        <w:tabs>
          <w:tab w:val="left" w:pos="567"/>
        </w:tabs>
        <w:spacing w:after="120" w:line="240" w:lineRule="auto"/>
        <w:jc w:val="both"/>
        <w:rPr>
          <w:rFonts w:ascii="Arial" w:hAnsi="Arial" w:cs="Arial"/>
          <w:b/>
          <w:noProof/>
          <w:color w:val="002060"/>
          <w:lang w:eastAsia="cs-CZ"/>
        </w:rPr>
      </w:pPr>
      <w:r w:rsidRPr="007045D0">
        <w:rPr>
          <w:rFonts w:ascii="Arial" w:hAnsi="Arial" w:cs="Arial"/>
          <w:b/>
          <w:noProof/>
          <w:color w:val="002060"/>
          <w:lang w:eastAsia="cs-CZ"/>
        </w:rPr>
        <w:t>5.</w:t>
      </w:r>
      <w:r w:rsidRPr="007045D0">
        <w:rPr>
          <w:rFonts w:ascii="Arial" w:hAnsi="Arial" w:cs="Arial"/>
          <w:b/>
          <w:noProof/>
          <w:color w:val="002060"/>
          <w:lang w:eastAsia="cs-CZ"/>
        </w:rPr>
        <w:tab/>
        <w:t>Doporučení</w:t>
      </w:r>
    </w:p>
    <w:p w:rsidR="003445EC" w:rsidRPr="007045D0" w:rsidRDefault="003445EC" w:rsidP="00306691">
      <w:pPr>
        <w:pStyle w:val="Odstavecseseznamem"/>
        <w:numPr>
          <w:ilvl w:val="0"/>
          <w:numId w:val="10"/>
        </w:numPr>
        <w:spacing w:after="120" w:line="240" w:lineRule="auto"/>
        <w:ind w:left="567" w:hanging="567"/>
        <w:contextualSpacing w:val="0"/>
        <w:jc w:val="both"/>
        <w:rPr>
          <w:rFonts w:ascii="Arial" w:eastAsia="Times New Roman" w:hAnsi="Arial" w:cs="Arial"/>
          <w:lang w:eastAsia="cs-CZ"/>
        </w:rPr>
      </w:pPr>
      <w:r w:rsidRPr="007045D0">
        <w:rPr>
          <w:rFonts w:ascii="Arial" w:hAnsi="Arial" w:cs="Arial"/>
        </w:rPr>
        <w:t xml:space="preserve">Rozhodnutí o výši a podmínkách přiznávání státem nařízených slev je </w:t>
      </w:r>
      <w:r w:rsidR="00222393" w:rsidRPr="007045D0">
        <w:rPr>
          <w:rFonts w:ascii="Arial" w:hAnsi="Arial" w:cs="Arial"/>
        </w:rPr>
        <w:t>dopravně-</w:t>
      </w:r>
      <w:r w:rsidRPr="007045D0">
        <w:rPr>
          <w:rFonts w:ascii="Arial" w:hAnsi="Arial" w:cs="Arial"/>
        </w:rPr>
        <w:t>politickou otázkou. Nicméně, má velké přesahy věcné a techn</w:t>
      </w:r>
      <w:r w:rsidR="00573D68" w:rsidRPr="007045D0">
        <w:rPr>
          <w:rFonts w:ascii="Arial" w:hAnsi="Arial" w:cs="Arial"/>
        </w:rPr>
        <w:t>ické. Například, pokud ponecháme</w:t>
      </w:r>
      <w:r w:rsidRPr="007045D0">
        <w:rPr>
          <w:rFonts w:ascii="Arial" w:hAnsi="Arial" w:cs="Arial"/>
        </w:rPr>
        <w:t xml:space="preserve"> současnou výši slev, </w:t>
      </w:r>
      <w:r w:rsidR="00573D68" w:rsidRPr="007045D0">
        <w:rPr>
          <w:rFonts w:ascii="Arial" w:hAnsi="Arial" w:cs="Arial"/>
        </w:rPr>
        <w:t xml:space="preserve">po odeznění pandemické krize </w:t>
      </w:r>
      <w:r w:rsidRPr="007045D0">
        <w:rPr>
          <w:rFonts w:ascii="Arial" w:hAnsi="Arial" w:cs="Arial"/>
        </w:rPr>
        <w:t>budeme čelit dalšímu nárůstu kompenzací z nich a státní rozpočet bude zatížen miliardovými náklady, které jsou blíže popsány v části 2.3 tohoto materiálu</w:t>
      </w:r>
      <w:r w:rsidR="00222393" w:rsidRPr="007045D0">
        <w:rPr>
          <w:rFonts w:ascii="Arial" w:hAnsi="Arial" w:cs="Arial"/>
        </w:rPr>
        <w:t>, což nebude jen politický, ale i reálný věcný problém</w:t>
      </w:r>
      <w:r w:rsidRPr="007045D0">
        <w:rPr>
          <w:rFonts w:ascii="Arial" w:hAnsi="Arial" w:cs="Arial"/>
        </w:rPr>
        <w:t xml:space="preserve">. Naopak, pokud slevy zcela zrušíme, </w:t>
      </w:r>
      <w:r w:rsidR="00222393" w:rsidRPr="007045D0">
        <w:rPr>
          <w:rFonts w:ascii="Arial" w:hAnsi="Arial" w:cs="Arial"/>
        </w:rPr>
        <w:t xml:space="preserve">složitě zaváděný a v posledních měsících poměrně úspěšný </w:t>
      </w:r>
      <w:r w:rsidRPr="007045D0">
        <w:rPr>
          <w:rFonts w:ascii="Arial" w:hAnsi="Arial" w:cs="Arial"/>
        </w:rPr>
        <w:t>Systém jednotnéh</w:t>
      </w:r>
      <w:r w:rsidR="00222393" w:rsidRPr="007045D0">
        <w:rPr>
          <w:rFonts w:ascii="Arial" w:hAnsi="Arial" w:cs="Arial"/>
        </w:rPr>
        <w:t>o</w:t>
      </w:r>
      <w:r w:rsidRPr="007045D0">
        <w:rPr>
          <w:rFonts w:ascii="Arial" w:hAnsi="Arial" w:cs="Arial"/>
        </w:rPr>
        <w:t xml:space="preserve"> tarifu nebude umět pracovat s  jízdným </w:t>
      </w:r>
      <w:r w:rsidR="00573D68" w:rsidRPr="007045D0">
        <w:rPr>
          <w:rFonts w:ascii="Arial" w:hAnsi="Arial" w:cs="Arial"/>
        </w:rPr>
        <w:t>pro děti 6-18 let a bude této skupině cestujících</w:t>
      </w:r>
      <w:r w:rsidRPr="007045D0">
        <w:rPr>
          <w:rFonts w:ascii="Arial" w:hAnsi="Arial" w:cs="Arial"/>
        </w:rPr>
        <w:t xml:space="preserve"> prodávat plné jízdné, což není v souladu s obecně vnímanými historickým souvislostmi v oblasti veřejné dopravy</w:t>
      </w:r>
      <w:r w:rsidR="00222393" w:rsidRPr="007045D0">
        <w:rPr>
          <w:rFonts w:ascii="Arial" w:hAnsi="Arial" w:cs="Arial"/>
        </w:rPr>
        <w:t xml:space="preserve"> (obecně vnímaný úzus </w:t>
      </w:r>
      <w:r w:rsidR="00222393" w:rsidRPr="007045D0">
        <w:rPr>
          <w:rFonts w:ascii="Arial" w:hAnsi="Arial" w:cs="Arial"/>
          <w:i/>
        </w:rPr>
        <w:t>„děti za poloviční jízdné“</w:t>
      </w:r>
      <w:r w:rsidR="00222393" w:rsidRPr="007045D0">
        <w:rPr>
          <w:rFonts w:ascii="Arial" w:hAnsi="Arial" w:cs="Arial"/>
        </w:rPr>
        <w:t>)</w:t>
      </w:r>
      <w:r w:rsidRPr="007045D0">
        <w:rPr>
          <w:rFonts w:ascii="Arial" w:hAnsi="Arial" w:cs="Arial"/>
        </w:rPr>
        <w:t xml:space="preserve">. Pokud zcela zrušíme studentské slevy, dopravci je sami nezavedou všude stejně a studenti se nenaučí </w:t>
      </w:r>
      <w:r w:rsidR="00DB02DC" w:rsidRPr="007045D0">
        <w:rPr>
          <w:rFonts w:ascii="Arial" w:hAnsi="Arial" w:cs="Arial"/>
        </w:rPr>
        <w:t xml:space="preserve">systematicky </w:t>
      </w:r>
      <w:r w:rsidRPr="007045D0">
        <w:rPr>
          <w:rFonts w:ascii="Arial" w:hAnsi="Arial" w:cs="Arial"/>
        </w:rPr>
        <w:t>používat veřejnou dopravu jako možnou</w:t>
      </w:r>
      <w:r w:rsidR="00DB02DC" w:rsidRPr="007045D0">
        <w:rPr>
          <w:rFonts w:ascii="Arial" w:hAnsi="Arial" w:cs="Arial"/>
        </w:rPr>
        <w:t>/vhodnou</w:t>
      </w:r>
      <w:r w:rsidRPr="007045D0">
        <w:rPr>
          <w:rFonts w:ascii="Arial" w:hAnsi="Arial" w:cs="Arial"/>
        </w:rPr>
        <w:t xml:space="preserve"> alternativu k dalším variantám zajištění vlastní mobility.</w:t>
      </w:r>
    </w:p>
    <w:p w:rsidR="00222393" w:rsidRPr="007045D0" w:rsidRDefault="003445EC" w:rsidP="00306691">
      <w:pPr>
        <w:pStyle w:val="Odstavecseseznamem"/>
        <w:numPr>
          <w:ilvl w:val="0"/>
          <w:numId w:val="10"/>
        </w:numPr>
        <w:spacing w:after="120" w:line="240" w:lineRule="auto"/>
        <w:ind w:left="567" w:hanging="567"/>
        <w:contextualSpacing w:val="0"/>
        <w:jc w:val="both"/>
        <w:rPr>
          <w:rFonts w:ascii="Arial" w:eastAsia="Times New Roman" w:hAnsi="Arial" w:cs="Arial"/>
          <w:lang w:eastAsia="cs-CZ"/>
        </w:rPr>
      </w:pPr>
      <w:r w:rsidRPr="007045D0">
        <w:rPr>
          <w:rFonts w:ascii="Arial" w:eastAsia="Times New Roman" w:hAnsi="Arial" w:cs="Arial"/>
          <w:lang w:eastAsia="cs-CZ"/>
        </w:rPr>
        <w:t xml:space="preserve">Věcně je tedy možné formulovat tři doporučení: </w:t>
      </w:r>
    </w:p>
    <w:p w:rsidR="007C6C09" w:rsidRPr="00C314E7" w:rsidRDefault="003445EC" w:rsidP="00C314E7">
      <w:pPr>
        <w:pStyle w:val="Odstavecseseznamem"/>
        <w:numPr>
          <w:ilvl w:val="0"/>
          <w:numId w:val="21"/>
        </w:numPr>
        <w:spacing w:after="0" w:line="240" w:lineRule="auto"/>
        <w:ind w:left="992" w:hanging="425"/>
        <w:contextualSpacing w:val="0"/>
        <w:jc w:val="both"/>
        <w:rPr>
          <w:rFonts w:ascii="Arial" w:eastAsia="Times New Roman" w:hAnsi="Arial" w:cs="Arial"/>
          <w:lang w:eastAsia="cs-CZ"/>
        </w:rPr>
      </w:pPr>
      <w:r w:rsidRPr="007045D0">
        <w:rPr>
          <w:rFonts w:ascii="Arial" w:eastAsia="Times New Roman" w:hAnsi="Arial" w:cs="Arial"/>
          <w:b/>
          <w:color w:val="002060"/>
          <w:lang w:eastAsia="cs-CZ"/>
        </w:rPr>
        <w:t>nenavrhujme extrémní řešení</w:t>
      </w:r>
      <w:r w:rsidRPr="007045D0">
        <w:rPr>
          <w:rFonts w:ascii="Arial" w:eastAsia="Times New Roman" w:hAnsi="Arial" w:cs="Arial"/>
          <w:color w:val="002060"/>
          <w:lang w:eastAsia="cs-CZ"/>
        </w:rPr>
        <w:t xml:space="preserve"> </w:t>
      </w:r>
      <w:r w:rsidRPr="007045D0">
        <w:rPr>
          <w:rFonts w:ascii="Arial" w:eastAsia="Times New Roman" w:hAnsi="Arial" w:cs="Arial"/>
          <w:lang w:eastAsia="cs-CZ"/>
        </w:rPr>
        <w:t>(úplné ponechání, úplné zrušení</w:t>
      </w:r>
      <w:r w:rsidR="00222393" w:rsidRPr="007045D0">
        <w:rPr>
          <w:rFonts w:ascii="Arial" w:eastAsia="Times New Roman" w:hAnsi="Arial" w:cs="Arial"/>
          <w:lang w:eastAsia="cs-CZ"/>
        </w:rPr>
        <w:t xml:space="preserve"> slev</w:t>
      </w:r>
      <w:r w:rsidRPr="007045D0">
        <w:rPr>
          <w:rFonts w:ascii="Arial" w:eastAsia="Times New Roman" w:hAnsi="Arial" w:cs="Arial"/>
          <w:lang w:eastAsia="cs-CZ"/>
        </w:rPr>
        <w:t>),</w:t>
      </w:r>
    </w:p>
    <w:p w:rsidR="00222393" w:rsidRPr="007045D0" w:rsidRDefault="003445EC" w:rsidP="00306691">
      <w:pPr>
        <w:pStyle w:val="Odstavecseseznamem"/>
        <w:numPr>
          <w:ilvl w:val="0"/>
          <w:numId w:val="21"/>
        </w:numPr>
        <w:spacing w:after="0" w:line="240" w:lineRule="auto"/>
        <w:ind w:left="992" w:hanging="425"/>
        <w:contextualSpacing w:val="0"/>
        <w:jc w:val="both"/>
        <w:rPr>
          <w:rFonts w:ascii="Arial" w:eastAsia="Times New Roman" w:hAnsi="Arial" w:cs="Arial"/>
          <w:lang w:eastAsia="cs-CZ"/>
        </w:rPr>
      </w:pPr>
      <w:r w:rsidRPr="007045D0">
        <w:rPr>
          <w:rFonts w:ascii="Arial" w:eastAsia="Times New Roman" w:hAnsi="Arial" w:cs="Arial"/>
          <w:b/>
          <w:color w:val="002060"/>
          <w:lang w:eastAsia="cs-CZ"/>
        </w:rPr>
        <w:t>buďme v návrhu jednoduší</w:t>
      </w:r>
      <w:r w:rsidRPr="007045D0">
        <w:rPr>
          <w:rFonts w:ascii="Arial" w:eastAsia="Times New Roman" w:hAnsi="Arial" w:cs="Arial"/>
          <w:color w:val="002060"/>
          <w:lang w:eastAsia="cs-CZ"/>
        </w:rPr>
        <w:t xml:space="preserve"> </w:t>
      </w:r>
      <w:r w:rsidRPr="007045D0">
        <w:rPr>
          <w:rFonts w:ascii="Arial" w:eastAsia="Times New Roman" w:hAnsi="Arial" w:cs="Arial"/>
          <w:lang w:eastAsia="cs-CZ"/>
        </w:rPr>
        <w:t>(žádné studentské průkazy s povolenou trasou do školy, žádné složité podmínky prokazování slev a jejich uplatňování</w:t>
      </w:r>
      <w:r w:rsidR="00A551FE" w:rsidRPr="007045D0">
        <w:rPr>
          <w:rFonts w:ascii="Arial" w:eastAsia="Times New Roman" w:hAnsi="Arial" w:cs="Arial"/>
          <w:lang w:eastAsia="cs-CZ"/>
        </w:rPr>
        <w:t>, žádné dělení na závazkovou a komerční dopravu</w:t>
      </w:r>
      <w:r w:rsidRPr="007045D0">
        <w:rPr>
          <w:rFonts w:ascii="Arial" w:eastAsia="Times New Roman" w:hAnsi="Arial" w:cs="Arial"/>
          <w:lang w:eastAsia="cs-CZ"/>
        </w:rPr>
        <w:t xml:space="preserve">) a </w:t>
      </w:r>
    </w:p>
    <w:p w:rsidR="00C3169E" w:rsidRPr="00D905A8" w:rsidRDefault="00306691" w:rsidP="00C3169E">
      <w:pPr>
        <w:pStyle w:val="Odstavecseseznamem"/>
        <w:numPr>
          <w:ilvl w:val="0"/>
          <w:numId w:val="21"/>
        </w:numPr>
        <w:spacing w:after="120" w:line="240" w:lineRule="auto"/>
        <w:ind w:left="993" w:hanging="426"/>
        <w:contextualSpacing w:val="0"/>
        <w:jc w:val="both"/>
        <w:rPr>
          <w:rFonts w:ascii="Arial" w:eastAsia="Times New Roman" w:hAnsi="Arial" w:cs="Arial"/>
          <w:lang w:eastAsia="cs-CZ"/>
        </w:rPr>
      </w:pPr>
      <w:r w:rsidRPr="007045D0">
        <w:rPr>
          <w:rFonts w:ascii="Arial" w:eastAsia="Times New Roman" w:hAnsi="Arial" w:cs="Arial"/>
          <w:b/>
          <w:color w:val="002060"/>
          <w:lang w:eastAsia="cs-CZ"/>
        </w:rPr>
        <w:t>na zavedení vhodně připraveného</w:t>
      </w:r>
      <w:r w:rsidR="003445EC" w:rsidRPr="007045D0">
        <w:rPr>
          <w:rFonts w:ascii="Arial" w:eastAsia="Times New Roman" w:hAnsi="Arial" w:cs="Arial"/>
          <w:b/>
          <w:color w:val="002060"/>
          <w:lang w:eastAsia="cs-CZ"/>
        </w:rPr>
        <w:t xml:space="preserve"> návrhu dejme </w:t>
      </w:r>
      <w:r w:rsidR="003445EC" w:rsidRPr="00D905A8">
        <w:rPr>
          <w:rFonts w:ascii="Arial" w:eastAsia="Times New Roman" w:hAnsi="Arial" w:cs="Arial"/>
          <w:b/>
          <w:color w:val="002060"/>
          <w:lang w:eastAsia="cs-CZ"/>
        </w:rPr>
        <w:t>dopra</w:t>
      </w:r>
      <w:r w:rsidRPr="00D905A8">
        <w:rPr>
          <w:rFonts w:ascii="Arial" w:eastAsia="Times New Roman" w:hAnsi="Arial" w:cs="Arial"/>
          <w:b/>
          <w:color w:val="002060"/>
          <w:lang w:eastAsia="cs-CZ"/>
        </w:rPr>
        <w:t xml:space="preserve">vcům </w:t>
      </w:r>
      <w:r w:rsidR="00C3169E" w:rsidRPr="00D905A8">
        <w:rPr>
          <w:rFonts w:ascii="Arial" w:eastAsia="Times New Roman" w:hAnsi="Arial" w:cs="Arial"/>
          <w:b/>
          <w:color w:val="002060"/>
          <w:lang w:eastAsia="cs-CZ"/>
        </w:rPr>
        <w:t xml:space="preserve">i regionálním objednatelům </w:t>
      </w:r>
      <w:r w:rsidRPr="00D905A8">
        <w:rPr>
          <w:rFonts w:ascii="Arial" w:eastAsia="Times New Roman" w:hAnsi="Arial" w:cs="Arial"/>
          <w:b/>
          <w:color w:val="002060"/>
          <w:lang w:eastAsia="cs-CZ"/>
        </w:rPr>
        <w:t>časov</w:t>
      </w:r>
      <w:r w:rsidRPr="007045D0">
        <w:rPr>
          <w:rFonts w:ascii="Arial" w:eastAsia="Times New Roman" w:hAnsi="Arial" w:cs="Arial"/>
          <w:b/>
          <w:color w:val="002060"/>
          <w:lang w:eastAsia="cs-CZ"/>
        </w:rPr>
        <w:t>ý prostor</w:t>
      </w:r>
      <w:r w:rsidR="00C3169E" w:rsidRPr="007045D0">
        <w:rPr>
          <w:rFonts w:ascii="Arial" w:eastAsia="Times New Roman" w:hAnsi="Arial" w:cs="Arial"/>
          <w:b/>
          <w:color w:val="002060"/>
          <w:lang w:eastAsia="cs-CZ"/>
        </w:rPr>
        <w:t xml:space="preserve"> </w:t>
      </w:r>
      <w:r w:rsidR="00C3169E" w:rsidRPr="00D905A8">
        <w:rPr>
          <w:rFonts w:ascii="Arial" w:eastAsia="Times New Roman" w:hAnsi="Arial" w:cs="Arial"/>
          <w:lang w:eastAsia="cs-CZ"/>
        </w:rPr>
        <w:t xml:space="preserve">(bude </w:t>
      </w:r>
      <w:r w:rsidR="00CE028E" w:rsidRPr="00D905A8">
        <w:rPr>
          <w:rFonts w:ascii="Arial" w:eastAsia="Times New Roman" w:hAnsi="Arial" w:cs="Arial"/>
          <w:lang w:eastAsia="cs-CZ"/>
        </w:rPr>
        <w:t xml:space="preserve">mimo jiné </w:t>
      </w:r>
      <w:r w:rsidR="00C3169E" w:rsidRPr="00D905A8">
        <w:rPr>
          <w:rFonts w:ascii="Arial" w:eastAsia="Times New Roman" w:hAnsi="Arial" w:cs="Arial"/>
          <w:lang w:eastAsia="cs-CZ"/>
        </w:rPr>
        <w:t>třeba změny zapracovat do tarifů a smluvních přepravních podmínek, schválit úpravy příslušnými orgány krajů, zajistit tisk nových jízdenek a časových kuponů, přeprogramovat odbavovací strojky ve vozidlech a rezervační</w:t>
      </w:r>
      <w:r w:rsidR="00CE028E" w:rsidRPr="00D905A8">
        <w:rPr>
          <w:rFonts w:ascii="Arial" w:eastAsia="Times New Roman" w:hAnsi="Arial" w:cs="Arial"/>
          <w:lang w:eastAsia="cs-CZ"/>
        </w:rPr>
        <w:t>ch</w:t>
      </w:r>
      <w:r w:rsidR="00C3169E" w:rsidRPr="00D905A8">
        <w:rPr>
          <w:rFonts w:ascii="Arial" w:eastAsia="Times New Roman" w:hAnsi="Arial" w:cs="Arial"/>
          <w:lang w:eastAsia="cs-CZ"/>
        </w:rPr>
        <w:t xml:space="preserve"> portál</w:t>
      </w:r>
      <w:r w:rsidR="00CE028E" w:rsidRPr="00D905A8">
        <w:rPr>
          <w:rFonts w:ascii="Arial" w:eastAsia="Times New Roman" w:hAnsi="Arial" w:cs="Arial"/>
          <w:lang w:eastAsia="cs-CZ"/>
        </w:rPr>
        <w:t xml:space="preserve">ech, </w:t>
      </w:r>
      <w:r w:rsidR="00C3169E" w:rsidRPr="00D905A8">
        <w:rPr>
          <w:rFonts w:ascii="Arial" w:eastAsia="Times New Roman" w:hAnsi="Arial" w:cs="Arial"/>
          <w:lang w:eastAsia="cs-CZ"/>
        </w:rPr>
        <w:t>sjednat dodatky smluv o veřejných službách</w:t>
      </w:r>
      <w:r w:rsidR="00CE028E" w:rsidRPr="00D905A8">
        <w:rPr>
          <w:rFonts w:ascii="Arial" w:eastAsia="Times New Roman" w:hAnsi="Arial" w:cs="Arial"/>
          <w:lang w:eastAsia="cs-CZ"/>
        </w:rPr>
        <w:t xml:space="preserve"> i</w:t>
      </w:r>
      <w:r w:rsidR="00D3217C" w:rsidRPr="00D905A8">
        <w:rPr>
          <w:rFonts w:ascii="Arial" w:eastAsia="Times New Roman" w:hAnsi="Arial" w:cs="Arial"/>
          <w:lang w:eastAsia="cs-CZ"/>
        </w:rPr>
        <w:t> </w:t>
      </w:r>
      <w:r w:rsidR="00C3169E" w:rsidRPr="00D905A8">
        <w:rPr>
          <w:rFonts w:ascii="Arial" w:eastAsia="Times New Roman" w:hAnsi="Arial" w:cs="Arial"/>
          <w:lang w:eastAsia="cs-CZ"/>
        </w:rPr>
        <w:t>smluv o kompenzacích slev).</w:t>
      </w:r>
    </w:p>
    <w:p w:rsidR="003445EC" w:rsidRDefault="00DB02DC" w:rsidP="00306691">
      <w:pPr>
        <w:pStyle w:val="Odstavecseseznamem"/>
        <w:numPr>
          <w:ilvl w:val="0"/>
          <w:numId w:val="10"/>
        </w:numPr>
        <w:spacing w:after="120" w:line="240" w:lineRule="auto"/>
        <w:ind w:left="567" w:hanging="567"/>
        <w:contextualSpacing w:val="0"/>
        <w:jc w:val="both"/>
        <w:rPr>
          <w:rFonts w:ascii="Arial" w:hAnsi="Arial" w:cs="Arial"/>
          <w:b/>
          <w:color w:val="002060"/>
        </w:rPr>
      </w:pPr>
      <w:r w:rsidRPr="007045D0">
        <w:rPr>
          <w:rFonts w:ascii="Arial" w:hAnsi="Arial" w:cs="Arial"/>
          <w:b/>
          <w:color w:val="002060"/>
        </w:rPr>
        <w:t>V tomto kontextu</w:t>
      </w:r>
      <w:r w:rsidR="00222393" w:rsidRPr="007045D0">
        <w:rPr>
          <w:rFonts w:ascii="Arial" w:hAnsi="Arial" w:cs="Arial"/>
          <w:b/>
          <w:color w:val="002060"/>
        </w:rPr>
        <w:t xml:space="preserve"> je možné volit ze skládanky u</w:t>
      </w:r>
      <w:r w:rsidR="001C625C" w:rsidRPr="007045D0">
        <w:rPr>
          <w:rFonts w:ascii="Arial" w:hAnsi="Arial" w:cs="Arial"/>
          <w:b/>
          <w:color w:val="002060"/>
        </w:rPr>
        <w:t>vedené v části 2.3 materiálu různá</w:t>
      </w:r>
      <w:r w:rsidRPr="007045D0">
        <w:rPr>
          <w:rFonts w:ascii="Arial" w:hAnsi="Arial" w:cs="Arial"/>
          <w:b/>
          <w:color w:val="002060"/>
        </w:rPr>
        <w:t xml:space="preserve"> řešení, které budou</w:t>
      </w:r>
      <w:r w:rsidR="00222393" w:rsidRPr="007045D0">
        <w:rPr>
          <w:rFonts w:ascii="Arial" w:hAnsi="Arial" w:cs="Arial"/>
          <w:b/>
          <w:color w:val="002060"/>
        </w:rPr>
        <w:t xml:space="preserve"> splňovat nejen věcné, ale i </w:t>
      </w:r>
      <w:r w:rsidR="002D0769" w:rsidRPr="007045D0">
        <w:rPr>
          <w:rFonts w:ascii="Arial" w:hAnsi="Arial" w:cs="Arial"/>
          <w:b/>
          <w:color w:val="002060"/>
        </w:rPr>
        <w:t>dopravně-politické zadání. Některá</w:t>
      </w:r>
      <w:r w:rsidR="00222393" w:rsidRPr="007045D0">
        <w:rPr>
          <w:rFonts w:ascii="Arial" w:hAnsi="Arial" w:cs="Arial"/>
          <w:b/>
          <w:color w:val="002060"/>
        </w:rPr>
        <w:t xml:space="preserve"> z mnoha možných řešení </w:t>
      </w:r>
      <w:r w:rsidR="00B36090" w:rsidRPr="007045D0">
        <w:rPr>
          <w:rFonts w:ascii="Arial" w:hAnsi="Arial" w:cs="Arial"/>
          <w:b/>
          <w:color w:val="002060"/>
        </w:rPr>
        <w:t>ukazují</w:t>
      </w:r>
      <w:r w:rsidR="00222393" w:rsidRPr="007045D0">
        <w:rPr>
          <w:rFonts w:ascii="Arial" w:hAnsi="Arial" w:cs="Arial"/>
          <w:b/>
          <w:color w:val="002060"/>
        </w:rPr>
        <w:t xml:space="preserve"> </w:t>
      </w:r>
      <w:r w:rsidR="00B36090" w:rsidRPr="007045D0">
        <w:rPr>
          <w:rFonts w:ascii="Arial" w:hAnsi="Arial" w:cs="Arial"/>
          <w:b/>
          <w:color w:val="002060"/>
        </w:rPr>
        <w:t>následující</w:t>
      </w:r>
      <w:r w:rsidR="002D0769" w:rsidRPr="007045D0">
        <w:rPr>
          <w:rFonts w:ascii="Arial" w:hAnsi="Arial" w:cs="Arial"/>
          <w:b/>
          <w:color w:val="002060"/>
        </w:rPr>
        <w:t xml:space="preserve"> části materiálu</w:t>
      </w:r>
      <w:r w:rsidR="00222393" w:rsidRPr="007045D0">
        <w:rPr>
          <w:rFonts w:ascii="Arial" w:hAnsi="Arial" w:cs="Arial"/>
          <w:b/>
          <w:color w:val="002060"/>
        </w:rPr>
        <w:t>. Rozdíly oproti tab. 1 (současný stav) jsou uvedeny červeně.</w:t>
      </w:r>
    </w:p>
    <w:p w:rsidR="00D3217C" w:rsidRPr="00D3217C" w:rsidRDefault="00D3217C" w:rsidP="00D3217C">
      <w:pPr>
        <w:spacing w:after="120" w:line="240" w:lineRule="auto"/>
        <w:jc w:val="both"/>
        <w:rPr>
          <w:rFonts w:ascii="Arial" w:hAnsi="Arial" w:cs="Arial"/>
          <w:b/>
          <w:color w:val="002060"/>
        </w:rPr>
      </w:pPr>
    </w:p>
    <w:p w:rsidR="00B36090" w:rsidRPr="007045D0" w:rsidRDefault="00B36090" w:rsidP="00B36090">
      <w:pPr>
        <w:spacing w:after="120" w:line="240" w:lineRule="auto"/>
        <w:ind w:left="567" w:hanging="567"/>
        <w:jc w:val="both"/>
        <w:rPr>
          <w:rFonts w:ascii="Arial" w:hAnsi="Arial" w:cs="Arial"/>
          <w:b/>
          <w:color w:val="002060"/>
        </w:rPr>
      </w:pPr>
      <w:r w:rsidRPr="007045D0">
        <w:rPr>
          <w:rFonts w:ascii="Arial" w:hAnsi="Arial" w:cs="Arial"/>
          <w:b/>
          <w:color w:val="002060"/>
        </w:rPr>
        <w:t>5.1</w:t>
      </w:r>
      <w:r w:rsidRPr="007045D0">
        <w:rPr>
          <w:rFonts w:ascii="Arial" w:hAnsi="Arial" w:cs="Arial"/>
          <w:b/>
          <w:color w:val="7030A0"/>
        </w:rPr>
        <w:tab/>
      </w:r>
      <w:r w:rsidRPr="007045D0">
        <w:rPr>
          <w:rFonts w:ascii="Arial" w:hAnsi="Arial" w:cs="Arial"/>
          <w:b/>
          <w:color w:val="002060"/>
        </w:rPr>
        <w:t xml:space="preserve">Varianta </w:t>
      </w:r>
      <w:r w:rsidR="002D0769" w:rsidRPr="007045D0">
        <w:rPr>
          <w:rFonts w:ascii="Arial" w:hAnsi="Arial" w:cs="Arial"/>
          <w:b/>
          <w:color w:val="002060"/>
        </w:rPr>
        <w:t>I</w:t>
      </w:r>
      <w:r w:rsidRPr="007045D0">
        <w:rPr>
          <w:rFonts w:ascii="Arial" w:hAnsi="Arial" w:cs="Arial"/>
          <w:b/>
          <w:color w:val="002060"/>
        </w:rPr>
        <w:t xml:space="preserve"> –</w:t>
      </w:r>
      <w:r w:rsidR="00133BE1" w:rsidRPr="007045D0">
        <w:rPr>
          <w:rFonts w:ascii="Arial" w:hAnsi="Arial" w:cs="Arial"/>
          <w:b/>
          <w:color w:val="002060"/>
        </w:rPr>
        <w:t xml:space="preserve"> zaměření na</w:t>
      </w:r>
      <w:r w:rsidRPr="007045D0">
        <w:rPr>
          <w:rFonts w:ascii="Arial" w:hAnsi="Arial" w:cs="Arial"/>
          <w:b/>
          <w:color w:val="002060"/>
        </w:rPr>
        <w:t xml:space="preserve"> </w:t>
      </w:r>
      <w:r w:rsidR="00133BE1" w:rsidRPr="007045D0">
        <w:rPr>
          <w:rFonts w:ascii="Arial" w:hAnsi="Arial" w:cs="Arial"/>
          <w:b/>
          <w:color w:val="002060"/>
        </w:rPr>
        <w:t>podporu</w:t>
      </w:r>
      <w:r w:rsidRPr="007045D0">
        <w:rPr>
          <w:rFonts w:ascii="Arial" w:hAnsi="Arial" w:cs="Arial"/>
          <w:b/>
          <w:color w:val="002060"/>
        </w:rPr>
        <w:t xml:space="preserve"> </w:t>
      </w:r>
      <w:r w:rsidR="00133BE1" w:rsidRPr="007045D0">
        <w:rPr>
          <w:rFonts w:ascii="Arial" w:hAnsi="Arial" w:cs="Arial"/>
          <w:b/>
          <w:color w:val="002060"/>
        </w:rPr>
        <w:t>cestování rodin</w:t>
      </w:r>
      <w:r w:rsidRPr="007045D0">
        <w:rPr>
          <w:rFonts w:ascii="Arial" w:hAnsi="Arial" w:cs="Arial"/>
          <w:b/>
          <w:color w:val="002060"/>
        </w:rPr>
        <w:t xml:space="preserve"> a studujících</w:t>
      </w:r>
    </w:p>
    <w:p w:rsidR="00B36090" w:rsidRPr="007045D0" w:rsidRDefault="002D0769" w:rsidP="00B36090">
      <w:pPr>
        <w:pStyle w:val="Odstavecseseznamem"/>
        <w:numPr>
          <w:ilvl w:val="0"/>
          <w:numId w:val="10"/>
        </w:numPr>
        <w:spacing w:after="120" w:line="240" w:lineRule="auto"/>
        <w:ind w:left="567" w:hanging="567"/>
        <w:contextualSpacing w:val="0"/>
        <w:jc w:val="both"/>
        <w:rPr>
          <w:rFonts w:ascii="Arial" w:hAnsi="Arial" w:cs="Arial"/>
          <w:color w:val="002060"/>
        </w:rPr>
      </w:pPr>
      <w:r w:rsidRPr="007045D0">
        <w:rPr>
          <w:rFonts w:ascii="Arial" w:hAnsi="Arial" w:cs="Arial"/>
        </w:rPr>
        <w:t xml:space="preserve">Uvedená varianta se jeví v zásadě jako velmi motivační pro cestování studentů a rodin s dětmi. </w:t>
      </w:r>
      <w:r w:rsidR="00B36090" w:rsidRPr="007045D0">
        <w:rPr>
          <w:rFonts w:ascii="Arial" w:hAnsi="Arial" w:cs="Arial"/>
        </w:rPr>
        <w:t>Pro každý návrh je potřebné zkalkulovat předpokládané dopady na státní rozpočet a dopady na další zúčastněné subjekty. Například pro variantu, která je uvedena v tabulce č. 7, lze předpokládat dopady uvedené v následujících odstavcích a tabulkách.</w:t>
      </w:r>
    </w:p>
    <w:p w:rsidR="00573D68" w:rsidRPr="00D3217C" w:rsidRDefault="00573D68"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Tab. 7: Přehled státem nařízených slev – možný navržený stav</w:t>
      </w:r>
      <w:r w:rsidR="002D0769" w:rsidRPr="00D3217C">
        <w:rPr>
          <w:rFonts w:ascii="Arial" w:hAnsi="Arial" w:cs="Arial"/>
          <w:b/>
          <w:color w:val="002060"/>
          <w:sz w:val="18"/>
          <w:szCs w:val="18"/>
        </w:rPr>
        <w:t xml:space="preserve"> ve variantě I</w:t>
      </w:r>
    </w:p>
    <w:tbl>
      <w:tblPr>
        <w:tblStyle w:val="Mkatabulky"/>
        <w:tblW w:w="0" w:type="auto"/>
        <w:tblInd w:w="552" w:type="dxa"/>
        <w:tblLook w:val="04A0" w:firstRow="1" w:lastRow="0" w:firstColumn="1" w:lastColumn="0" w:noHBand="0" w:noVBand="1"/>
      </w:tblPr>
      <w:tblGrid>
        <w:gridCol w:w="1563"/>
        <w:gridCol w:w="1731"/>
        <w:gridCol w:w="1732"/>
        <w:gridCol w:w="1732"/>
        <w:gridCol w:w="1732"/>
      </w:tblGrid>
      <w:tr w:rsidR="00573D68" w:rsidRPr="00D3217C" w:rsidTr="00D3217C">
        <w:tc>
          <w:tcPr>
            <w:tcW w:w="1563" w:type="dxa"/>
            <w:vMerge w:val="restart"/>
            <w:tcBorders>
              <w:top w:val="single" w:sz="12" w:space="0" w:color="auto"/>
              <w:left w:val="single" w:sz="12" w:space="0" w:color="auto"/>
            </w:tcBorders>
            <w:shd w:val="clear" w:color="auto" w:fill="FFF2CC" w:themeFill="accent4" w:themeFillTint="33"/>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 xml:space="preserve">Skupina cestujících </w:t>
            </w:r>
          </w:p>
        </w:tc>
        <w:tc>
          <w:tcPr>
            <w:tcW w:w="6927" w:type="dxa"/>
            <w:gridSpan w:val="4"/>
            <w:tcBorders>
              <w:top w:val="single" w:sz="12" w:space="0" w:color="auto"/>
              <w:right w:val="single" w:sz="12" w:space="0" w:color="auto"/>
            </w:tcBorders>
            <w:shd w:val="clear" w:color="auto" w:fill="FFF2CC" w:themeFill="accent4"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Přepravní služby zajišťované</w:t>
            </w:r>
          </w:p>
        </w:tc>
      </w:tr>
      <w:tr w:rsidR="00573D68" w:rsidRPr="00D3217C" w:rsidTr="00D3217C">
        <w:tc>
          <w:tcPr>
            <w:tcW w:w="1563" w:type="dxa"/>
            <w:vMerge/>
            <w:tcBorders>
              <w:left w:val="single" w:sz="12" w:space="0" w:color="auto"/>
              <w:bottom w:val="single" w:sz="12" w:space="0" w:color="auto"/>
            </w:tcBorders>
            <w:shd w:val="clear" w:color="auto" w:fill="FFF2CC" w:themeFill="accent4" w:themeFillTint="33"/>
          </w:tcPr>
          <w:p w:rsidR="00573D68" w:rsidRPr="00D3217C" w:rsidRDefault="00573D68" w:rsidP="00D92A61">
            <w:pPr>
              <w:spacing w:after="120"/>
              <w:rPr>
                <w:rFonts w:ascii="Times New Roman" w:hAnsi="Times New Roman" w:cs="Times New Roman"/>
                <w:sz w:val="18"/>
                <w:szCs w:val="18"/>
              </w:rPr>
            </w:pPr>
          </w:p>
        </w:tc>
        <w:tc>
          <w:tcPr>
            <w:tcW w:w="1731" w:type="dxa"/>
            <w:tcBorders>
              <w:bottom w:val="single" w:sz="12" w:space="0" w:color="auto"/>
            </w:tcBorders>
            <w:shd w:val="clear" w:color="auto" w:fill="FFF2CC" w:themeFill="accent4"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IDS mimo MHD</w:t>
            </w:r>
          </w:p>
        </w:tc>
        <w:tc>
          <w:tcPr>
            <w:tcW w:w="1732" w:type="dxa"/>
            <w:tcBorders>
              <w:bottom w:val="single" w:sz="12" w:space="0" w:color="auto"/>
            </w:tcBorders>
            <w:shd w:val="clear" w:color="auto" w:fill="FFF2CC" w:themeFill="accent4"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železniční mimo IDS</w:t>
            </w:r>
          </w:p>
        </w:tc>
        <w:tc>
          <w:tcPr>
            <w:tcW w:w="1732" w:type="dxa"/>
            <w:tcBorders>
              <w:bottom w:val="single" w:sz="12" w:space="0" w:color="auto"/>
            </w:tcBorders>
            <w:shd w:val="clear" w:color="auto" w:fill="FFF2CC" w:themeFill="accent4"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autobusová mimo IDS</w:t>
            </w:r>
          </w:p>
        </w:tc>
        <w:tc>
          <w:tcPr>
            <w:tcW w:w="1732" w:type="dxa"/>
            <w:tcBorders>
              <w:bottom w:val="single" w:sz="12" w:space="0" w:color="auto"/>
              <w:right w:val="single" w:sz="12" w:space="0" w:color="auto"/>
            </w:tcBorders>
            <w:shd w:val="clear" w:color="auto" w:fill="FFF2CC" w:themeFill="accent4"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 xml:space="preserve">MHD </w:t>
            </w:r>
          </w:p>
        </w:tc>
      </w:tr>
      <w:tr w:rsidR="00573D68" w:rsidRPr="00D3217C" w:rsidTr="00D3217C">
        <w:tc>
          <w:tcPr>
            <w:tcW w:w="1563" w:type="dxa"/>
            <w:tcBorders>
              <w:top w:val="single" w:sz="12" w:space="0" w:color="auto"/>
            </w:tcBorders>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děti do 6 let</w:t>
            </w:r>
          </w:p>
        </w:tc>
        <w:tc>
          <w:tcPr>
            <w:tcW w:w="1731" w:type="dxa"/>
            <w:tcBorders>
              <w:top w:val="single" w:sz="12" w:space="0" w:color="auto"/>
            </w:tcBorders>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 max. 2 děti</w:t>
            </w:r>
          </w:p>
        </w:tc>
        <w:tc>
          <w:tcPr>
            <w:tcW w:w="1732" w:type="dxa"/>
            <w:tcBorders>
              <w:top w:val="single" w:sz="12" w:space="0" w:color="auto"/>
            </w:tcBorders>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 max. 2 děti</w:t>
            </w:r>
          </w:p>
        </w:tc>
        <w:tc>
          <w:tcPr>
            <w:tcW w:w="1732" w:type="dxa"/>
            <w:tcBorders>
              <w:top w:val="single" w:sz="12" w:space="0" w:color="auto"/>
            </w:tcBorders>
            <w:shd w:val="clear" w:color="auto" w:fill="FBE4D5" w:themeFill="accent2"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 xml:space="preserve">bezplatně, </w:t>
            </w:r>
            <w:r w:rsidRPr="00D3217C">
              <w:rPr>
                <w:rFonts w:ascii="Times New Roman" w:hAnsi="Times New Roman" w:cs="Times New Roman"/>
                <w:sz w:val="18"/>
                <w:szCs w:val="18"/>
                <w:shd w:val="clear" w:color="auto" w:fill="FBE4D5" w:themeFill="accent2" w:themeFillTint="33"/>
              </w:rPr>
              <w:t xml:space="preserve">max. </w:t>
            </w:r>
            <w:r w:rsidRPr="00D3217C">
              <w:rPr>
                <w:rFonts w:ascii="Times New Roman" w:hAnsi="Times New Roman" w:cs="Times New Roman"/>
                <w:b/>
                <w:color w:val="C00000"/>
                <w:sz w:val="18"/>
                <w:szCs w:val="18"/>
                <w:shd w:val="clear" w:color="auto" w:fill="FBE4D5" w:themeFill="accent2" w:themeFillTint="33"/>
              </w:rPr>
              <w:t>2</w:t>
            </w:r>
            <w:r w:rsidRPr="00D3217C">
              <w:rPr>
                <w:rFonts w:ascii="Times New Roman" w:hAnsi="Times New Roman" w:cs="Times New Roman"/>
                <w:sz w:val="18"/>
                <w:szCs w:val="18"/>
                <w:shd w:val="clear" w:color="auto" w:fill="FBE4D5" w:themeFill="accent2" w:themeFillTint="33"/>
              </w:rPr>
              <w:t xml:space="preserve"> </w:t>
            </w:r>
            <w:r w:rsidRPr="00D3217C">
              <w:rPr>
                <w:rFonts w:ascii="Times New Roman" w:hAnsi="Times New Roman" w:cs="Times New Roman"/>
                <w:b/>
                <w:color w:val="C00000"/>
                <w:sz w:val="18"/>
                <w:szCs w:val="18"/>
                <w:shd w:val="clear" w:color="auto" w:fill="FBE4D5" w:themeFill="accent2" w:themeFillTint="33"/>
              </w:rPr>
              <w:t>děti</w:t>
            </w:r>
          </w:p>
        </w:tc>
        <w:tc>
          <w:tcPr>
            <w:tcW w:w="1732" w:type="dxa"/>
            <w:tcBorders>
              <w:top w:val="single" w:sz="12" w:space="0" w:color="auto"/>
            </w:tcBorders>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w:t>
            </w:r>
          </w:p>
        </w:tc>
      </w:tr>
      <w:tr w:rsidR="00573D68" w:rsidRPr="00D3217C" w:rsidTr="00D3217C">
        <w:tc>
          <w:tcPr>
            <w:tcW w:w="1563" w:type="dxa"/>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děti 6-18</w:t>
            </w:r>
          </w:p>
        </w:tc>
        <w:tc>
          <w:tcPr>
            <w:tcW w:w="1731"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50</w:t>
            </w:r>
            <w:r w:rsidRPr="00D3217C">
              <w:rPr>
                <w:rFonts w:ascii="Times New Roman" w:hAnsi="Times New Roman" w:cs="Times New Roman"/>
                <w:sz w:val="18"/>
                <w:szCs w:val="18"/>
              </w:rPr>
              <w:t xml:space="preserve"> % </w:t>
            </w:r>
          </w:p>
        </w:tc>
        <w:tc>
          <w:tcPr>
            <w:tcW w:w="1732"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50</w:t>
            </w:r>
            <w:r w:rsidRPr="00D3217C">
              <w:rPr>
                <w:rFonts w:ascii="Times New Roman" w:hAnsi="Times New Roman" w:cs="Times New Roman"/>
                <w:sz w:val="18"/>
                <w:szCs w:val="18"/>
              </w:rPr>
              <w:t xml:space="preserve"> % </w:t>
            </w:r>
          </w:p>
        </w:tc>
        <w:tc>
          <w:tcPr>
            <w:tcW w:w="1732"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50</w:t>
            </w:r>
            <w:r w:rsidRPr="00D3217C">
              <w:rPr>
                <w:rFonts w:ascii="Times New Roman" w:hAnsi="Times New Roman" w:cs="Times New Roman"/>
                <w:sz w:val="18"/>
                <w:szCs w:val="18"/>
              </w:rPr>
              <w:t xml:space="preserve"> %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w:t>
            </w:r>
          </w:p>
        </w:tc>
      </w:tr>
      <w:tr w:rsidR="00573D68" w:rsidRPr="00D3217C" w:rsidTr="00D3217C">
        <w:tc>
          <w:tcPr>
            <w:tcW w:w="1563" w:type="dxa"/>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 xml:space="preserve">studující 18-26 </w:t>
            </w:r>
          </w:p>
        </w:tc>
        <w:tc>
          <w:tcPr>
            <w:tcW w:w="1731"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50</w:t>
            </w:r>
            <w:r w:rsidRPr="00D3217C">
              <w:rPr>
                <w:rFonts w:ascii="Times New Roman" w:hAnsi="Times New Roman" w:cs="Times New Roman"/>
                <w:sz w:val="18"/>
                <w:szCs w:val="18"/>
              </w:rPr>
              <w:t xml:space="preserve"> %</w:t>
            </w:r>
          </w:p>
        </w:tc>
        <w:tc>
          <w:tcPr>
            <w:tcW w:w="1732"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50</w:t>
            </w:r>
            <w:r w:rsidRPr="00D3217C">
              <w:rPr>
                <w:rFonts w:ascii="Times New Roman" w:hAnsi="Times New Roman" w:cs="Times New Roman"/>
                <w:sz w:val="18"/>
                <w:szCs w:val="18"/>
              </w:rPr>
              <w:t xml:space="preserve"> % </w:t>
            </w:r>
          </w:p>
        </w:tc>
        <w:tc>
          <w:tcPr>
            <w:tcW w:w="1732"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50</w:t>
            </w:r>
            <w:r w:rsidRPr="00D3217C">
              <w:rPr>
                <w:rFonts w:ascii="Times New Roman" w:hAnsi="Times New Roman" w:cs="Times New Roman"/>
                <w:sz w:val="18"/>
                <w:szCs w:val="18"/>
              </w:rPr>
              <w:t xml:space="preserve"> %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w:t>
            </w:r>
          </w:p>
        </w:tc>
      </w:tr>
      <w:tr w:rsidR="00573D68" w:rsidRPr="00D3217C" w:rsidTr="00D3217C">
        <w:tc>
          <w:tcPr>
            <w:tcW w:w="1563" w:type="dxa"/>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senioři 65+</w:t>
            </w:r>
          </w:p>
        </w:tc>
        <w:tc>
          <w:tcPr>
            <w:tcW w:w="1731"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25</w:t>
            </w:r>
            <w:r w:rsidRPr="00D3217C">
              <w:rPr>
                <w:rFonts w:ascii="Times New Roman" w:hAnsi="Times New Roman" w:cs="Times New Roman"/>
                <w:sz w:val="18"/>
                <w:szCs w:val="18"/>
              </w:rPr>
              <w:t xml:space="preserve"> %</w:t>
            </w:r>
          </w:p>
        </w:tc>
        <w:tc>
          <w:tcPr>
            <w:tcW w:w="1732"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25</w:t>
            </w:r>
            <w:r w:rsidRPr="00D3217C">
              <w:rPr>
                <w:rFonts w:ascii="Times New Roman" w:hAnsi="Times New Roman" w:cs="Times New Roman"/>
                <w:sz w:val="18"/>
                <w:szCs w:val="18"/>
              </w:rPr>
              <w:t xml:space="preserve"> %</w:t>
            </w:r>
          </w:p>
        </w:tc>
        <w:tc>
          <w:tcPr>
            <w:tcW w:w="1732" w:type="dxa"/>
            <w:shd w:val="clear" w:color="auto" w:fill="E2EFD9" w:themeFill="accent6" w:themeFillTint="33"/>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b/>
                <w:color w:val="C00000"/>
                <w:sz w:val="18"/>
                <w:szCs w:val="18"/>
              </w:rPr>
              <w:t>25</w:t>
            </w:r>
            <w:r w:rsidRPr="00D3217C">
              <w:rPr>
                <w:rFonts w:ascii="Times New Roman" w:hAnsi="Times New Roman" w:cs="Times New Roman"/>
                <w:sz w:val="18"/>
                <w:szCs w:val="18"/>
              </w:rPr>
              <w:t xml:space="preserve">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w:t>
            </w:r>
          </w:p>
        </w:tc>
      </w:tr>
      <w:tr w:rsidR="00573D68" w:rsidRPr="00D3217C" w:rsidTr="00D3217C">
        <w:tc>
          <w:tcPr>
            <w:tcW w:w="1563" w:type="dxa"/>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ZTP, ZTP/P</w:t>
            </w:r>
          </w:p>
        </w:tc>
        <w:tc>
          <w:tcPr>
            <w:tcW w:w="1731"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75 %*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75 %*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75 %*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w:t>
            </w:r>
          </w:p>
        </w:tc>
      </w:tr>
      <w:tr w:rsidR="00573D68" w:rsidRPr="00D3217C" w:rsidTr="00D3217C">
        <w:tc>
          <w:tcPr>
            <w:tcW w:w="1563" w:type="dxa"/>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průvodce ZTP/P</w:t>
            </w:r>
          </w:p>
        </w:tc>
        <w:tc>
          <w:tcPr>
            <w:tcW w:w="1731"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bezplatně*</w:t>
            </w:r>
          </w:p>
        </w:tc>
      </w:tr>
      <w:tr w:rsidR="00573D68" w:rsidRPr="00D3217C" w:rsidTr="00D3217C">
        <w:tc>
          <w:tcPr>
            <w:tcW w:w="1563" w:type="dxa"/>
          </w:tcPr>
          <w:p w:rsidR="00573D68" w:rsidRPr="00D3217C" w:rsidRDefault="00573D68" w:rsidP="00D92A61">
            <w:pPr>
              <w:spacing w:after="120"/>
              <w:rPr>
                <w:rFonts w:ascii="Times New Roman" w:hAnsi="Times New Roman" w:cs="Times New Roman"/>
                <w:sz w:val="18"/>
                <w:szCs w:val="18"/>
              </w:rPr>
            </w:pPr>
            <w:r w:rsidRPr="00D3217C">
              <w:rPr>
                <w:rFonts w:ascii="Times New Roman" w:hAnsi="Times New Roman" w:cs="Times New Roman"/>
                <w:sz w:val="18"/>
                <w:szCs w:val="18"/>
              </w:rPr>
              <w:t>rodiče dětí v ústavech</w:t>
            </w:r>
          </w:p>
        </w:tc>
        <w:tc>
          <w:tcPr>
            <w:tcW w:w="1731"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50 %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50 %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50 %</w:t>
            </w:r>
          </w:p>
        </w:tc>
        <w:tc>
          <w:tcPr>
            <w:tcW w:w="1732" w:type="dxa"/>
          </w:tcPr>
          <w:p w:rsidR="00573D68" w:rsidRPr="00D3217C" w:rsidRDefault="00573D68" w:rsidP="00D92A61">
            <w:pPr>
              <w:spacing w:after="120"/>
              <w:jc w:val="center"/>
              <w:rPr>
                <w:rFonts w:ascii="Times New Roman" w:hAnsi="Times New Roman" w:cs="Times New Roman"/>
                <w:sz w:val="18"/>
                <w:szCs w:val="18"/>
              </w:rPr>
            </w:pPr>
            <w:r w:rsidRPr="00D3217C">
              <w:rPr>
                <w:rFonts w:ascii="Times New Roman" w:hAnsi="Times New Roman" w:cs="Times New Roman"/>
                <w:sz w:val="18"/>
                <w:szCs w:val="18"/>
              </w:rPr>
              <w:t>---</w:t>
            </w:r>
          </w:p>
        </w:tc>
      </w:tr>
    </w:tbl>
    <w:p w:rsidR="00573D68" w:rsidRPr="00573D68" w:rsidRDefault="00573D68" w:rsidP="00D3217C">
      <w:pPr>
        <w:spacing w:after="120" w:line="240" w:lineRule="auto"/>
        <w:ind w:left="567"/>
        <w:jc w:val="both"/>
        <w:rPr>
          <w:rFonts w:ascii="Times New Roman" w:hAnsi="Times New Roman" w:cs="Times New Roman"/>
          <w:i/>
          <w:sz w:val="20"/>
          <w:szCs w:val="20"/>
        </w:rPr>
      </w:pPr>
      <w:r w:rsidRPr="00D3217C">
        <w:rPr>
          <w:rFonts w:ascii="Times New Roman" w:hAnsi="Times New Roman" w:cs="Times New Roman"/>
          <w:i/>
          <w:sz w:val="18"/>
          <w:szCs w:val="18"/>
        </w:rPr>
        <w:t>* nárok vyplývá za zákona o poskytování dávek osobám se zdravotním postižením</w:t>
      </w:r>
    </w:p>
    <w:p w:rsidR="00D20A80" w:rsidRPr="00D3217C" w:rsidRDefault="00DF52F0" w:rsidP="00DF52F0">
      <w:pPr>
        <w:pStyle w:val="Odstavecseseznamem"/>
        <w:numPr>
          <w:ilvl w:val="0"/>
          <w:numId w:val="10"/>
        </w:numPr>
        <w:spacing w:after="120" w:line="240" w:lineRule="auto"/>
        <w:ind w:left="567" w:hanging="567"/>
        <w:contextualSpacing w:val="0"/>
        <w:jc w:val="both"/>
        <w:rPr>
          <w:rFonts w:ascii="Arial" w:hAnsi="Arial" w:cs="Arial"/>
          <w:color w:val="002060"/>
        </w:rPr>
      </w:pPr>
      <w:r w:rsidRPr="00D3217C">
        <w:rPr>
          <w:rFonts w:ascii="Arial" w:hAnsi="Arial" w:cs="Arial"/>
        </w:rPr>
        <w:t>P</w:t>
      </w:r>
      <w:r w:rsidR="00573D68" w:rsidRPr="00D3217C">
        <w:rPr>
          <w:rFonts w:ascii="Arial" w:hAnsi="Arial" w:cs="Arial"/>
        </w:rPr>
        <w:t xml:space="preserve">okud se týče </w:t>
      </w:r>
      <w:r w:rsidR="00573D68" w:rsidRPr="00D3217C">
        <w:rPr>
          <w:rFonts w:ascii="Arial" w:hAnsi="Arial" w:cs="Arial"/>
          <w:i/>
        </w:rPr>
        <w:t>státního rozpočtu</w:t>
      </w:r>
      <w:r w:rsidR="00573D68" w:rsidRPr="00D3217C">
        <w:rPr>
          <w:rFonts w:ascii="Arial" w:hAnsi="Arial" w:cs="Arial"/>
        </w:rPr>
        <w:t>, vyplývají dopady z tabulek uvedených v části 2.3 tohoto materiálu</w:t>
      </w:r>
      <w:r w:rsidRPr="00D3217C">
        <w:rPr>
          <w:rFonts w:ascii="Arial" w:hAnsi="Arial" w:cs="Arial"/>
        </w:rPr>
        <w:t>. T</w:t>
      </w:r>
      <w:r w:rsidR="001E52F2" w:rsidRPr="00D3217C">
        <w:rPr>
          <w:rFonts w:ascii="Arial" w:hAnsi="Arial" w:cs="Arial"/>
        </w:rPr>
        <w:t xml:space="preserve">yto hodnoty jsou </w:t>
      </w:r>
      <w:r w:rsidRPr="00D3217C">
        <w:rPr>
          <w:rFonts w:ascii="Arial" w:hAnsi="Arial" w:cs="Arial"/>
        </w:rPr>
        <w:t xml:space="preserve">přehledně </w:t>
      </w:r>
      <w:r w:rsidR="001E52F2" w:rsidRPr="00D3217C">
        <w:rPr>
          <w:rFonts w:ascii="Arial" w:hAnsi="Arial" w:cs="Arial"/>
        </w:rPr>
        <w:t>uvedeny v tabulce č. 8;</w:t>
      </w:r>
      <w:r w:rsidRPr="00D3217C">
        <w:rPr>
          <w:rFonts w:ascii="Arial" w:hAnsi="Arial" w:cs="Arial"/>
        </w:rPr>
        <w:t xml:space="preserve"> v této tabulce jsou pro oba scénáře převzaty příslušné hodnoty pro jednotlivé úpravy slev ze 75 % na 50 % (děti a studenti), popřípadě ze 75 % na 25 % (skupina seniorů). V takovém případě je rozpětí úspor oproti situaci, kdy by slevy zůstaly v současné výši, odhadován pro státní rozpočet</w:t>
      </w:r>
      <w:r w:rsidR="002D0769" w:rsidRPr="00D3217C">
        <w:rPr>
          <w:rFonts w:ascii="Arial" w:hAnsi="Arial" w:cs="Arial"/>
        </w:rPr>
        <w:t xml:space="preserve"> na </w:t>
      </w:r>
      <w:r w:rsidR="002D0769" w:rsidRPr="00E55605">
        <w:rPr>
          <w:rFonts w:ascii="Arial" w:hAnsi="Arial" w:cs="Arial"/>
        </w:rPr>
        <w:t>1,3 – 2,3</w:t>
      </w:r>
      <w:r w:rsidRPr="00E55605">
        <w:rPr>
          <w:rFonts w:ascii="Arial" w:hAnsi="Arial" w:cs="Arial"/>
        </w:rPr>
        <w:t xml:space="preserve"> </w:t>
      </w:r>
      <w:r w:rsidRPr="00D3217C">
        <w:rPr>
          <w:rFonts w:ascii="Arial" w:hAnsi="Arial" w:cs="Arial"/>
        </w:rPr>
        <w:t>mld. Kč. Tak velké rozpětí odhadu je dáno velkým rozpětím odhadovaných cellových výnosů ve veřejné dopravě, které je v době doznívající pandemie COVID-19 zatíženo velkým rozptylem, jak bylo již podrobněji uvedeno v části 2.3 tohoto materiálu, protože neznáme elasticitu poptávky ani její celkový vývoj v době po odeznění pandemie, nebyl by přesnější odhad odpovědný.</w:t>
      </w:r>
    </w:p>
    <w:p w:rsidR="00DF52F0" w:rsidRPr="00E55605" w:rsidRDefault="00DF52F0" w:rsidP="00D3217C">
      <w:pPr>
        <w:spacing w:after="120" w:line="240" w:lineRule="auto"/>
        <w:ind w:left="567"/>
        <w:jc w:val="both"/>
        <w:rPr>
          <w:rFonts w:ascii="Arial" w:hAnsi="Arial" w:cs="Arial"/>
          <w:b/>
          <w:color w:val="002060"/>
          <w:sz w:val="18"/>
          <w:szCs w:val="18"/>
        </w:rPr>
      </w:pPr>
      <w:r w:rsidRPr="00E55605">
        <w:rPr>
          <w:rFonts w:ascii="Arial" w:hAnsi="Arial" w:cs="Arial"/>
          <w:b/>
          <w:color w:val="002060"/>
          <w:sz w:val="18"/>
          <w:szCs w:val="18"/>
        </w:rPr>
        <w:t xml:space="preserve">Tab. 8: Odhadované úspory pro státní rozpočet pro variantu </w:t>
      </w:r>
      <w:r w:rsidR="002B6AA9" w:rsidRPr="00E55605">
        <w:rPr>
          <w:rFonts w:ascii="Arial" w:hAnsi="Arial" w:cs="Arial"/>
          <w:b/>
          <w:color w:val="002060"/>
          <w:sz w:val="18"/>
          <w:szCs w:val="18"/>
        </w:rPr>
        <w:t xml:space="preserve">I </w:t>
      </w:r>
      <w:r w:rsidRPr="00E55605">
        <w:rPr>
          <w:rFonts w:ascii="Arial" w:hAnsi="Arial" w:cs="Arial"/>
          <w:b/>
          <w:color w:val="002060"/>
          <w:sz w:val="18"/>
          <w:szCs w:val="18"/>
        </w:rPr>
        <w:t>doporučenou v tab. 7</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488"/>
        <w:gridCol w:w="1488"/>
        <w:gridCol w:w="1488"/>
        <w:gridCol w:w="1489"/>
      </w:tblGrid>
      <w:tr w:rsidR="00DF52F0" w:rsidRPr="00E55605" w:rsidTr="00D3217C">
        <w:trPr>
          <w:trHeight w:val="510"/>
        </w:trPr>
        <w:tc>
          <w:tcPr>
            <w:tcW w:w="2552" w:type="dxa"/>
            <w:shd w:val="clear" w:color="auto" w:fill="FFF2CC" w:themeFill="accent4" w:themeFillTint="33"/>
            <w:vAlign w:val="center"/>
            <w:hideMark/>
          </w:tcPr>
          <w:p w:rsidR="00DF52F0" w:rsidRPr="00E55605" w:rsidRDefault="00DF52F0" w:rsidP="00D92A61">
            <w:pPr>
              <w:spacing w:after="0" w:line="240" w:lineRule="auto"/>
              <w:rPr>
                <w:rFonts w:ascii="Arial" w:eastAsia="Times New Roman" w:hAnsi="Arial" w:cs="Arial"/>
                <w:b/>
                <w:sz w:val="18"/>
                <w:szCs w:val="18"/>
                <w:lang w:eastAsia="cs-CZ"/>
              </w:rPr>
            </w:pPr>
            <w:r w:rsidRPr="00E55605">
              <w:rPr>
                <w:rFonts w:ascii="Arial" w:eastAsia="Times New Roman" w:hAnsi="Arial" w:cs="Arial"/>
                <w:b/>
                <w:sz w:val="18"/>
                <w:szCs w:val="18"/>
                <w:lang w:eastAsia="cs-CZ"/>
              </w:rPr>
              <w:t>Odhadovaná bilance pro státní rozpočet</w:t>
            </w:r>
            <w:r w:rsidR="00EF3B5D" w:rsidRPr="00E55605">
              <w:rPr>
                <w:rFonts w:ascii="Arial" w:eastAsia="Times New Roman" w:hAnsi="Arial" w:cs="Arial"/>
                <w:b/>
                <w:sz w:val="18"/>
                <w:szCs w:val="18"/>
                <w:lang w:eastAsia="cs-CZ"/>
              </w:rPr>
              <w:t xml:space="preserve"> </w:t>
            </w:r>
            <w:r w:rsidR="00EF3B5D" w:rsidRPr="00E55605">
              <w:rPr>
                <w:rFonts w:ascii="Arial" w:eastAsia="Times New Roman" w:hAnsi="Arial" w:cs="Arial"/>
                <w:i/>
                <w:sz w:val="18"/>
                <w:szCs w:val="18"/>
                <w:lang w:eastAsia="cs-CZ"/>
              </w:rPr>
              <w:t>(mil. Kč)</w:t>
            </w:r>
          </w:p>
        </w:tc>
        <w:tc>
          <w:tcPr>
            <w:tcW w:w="2976" w:type="dxa"/>
            <w:gridSpan w:val="2"/>
            <w:shd w:val="clear" w:color="auto" w:fill="FFF2CC" w:themeFill="accent4" w:themeFillTint="33"/>
            <w:vAlign w:val="center"/>
            <w:hideMark/>
          </w:tcPr>
          <w:p w:rsidR="00DF52F0" w:rsidRPr="00E55605" w:rsidRDefault="00DF52F0" w:rsidP="00D92A61">
            <w:pPr>
              <w:spacing w:after="0" w:line="240" w:lineRule="auto"/>
              <w:jc w:val="center"/>
              <w:rPr>
                <w:rFonts w:ascii="Arial" w:eastAsia="Times New Roman" w:hAnsi="Arial" w:cs="Arial"/>
                <w:b/>
                <w:sz w:val="18"/>
                <w:szCs w:val="18"/>
                <w:lang w:eastAsia="cs-CZ"/>
              </w:rPr>
            </w:pPr>
            <w:r w:rsidRPr="00E55605">
              <w:rPr>
                <w:rFonts w:ascii="Arial" w:eastAsia="Times New Roman" w:hAnsi="Arial" w:cs="Arial"/>
                <w:b/>
                <w:sz w:val="18"/>
                <w:szCs w:val="18"/>
                <w:lang w:eastAsia="cs-CZ"/>
              </w:rPr>
              <w:t>Model A (přepravně optimistický)</w:t>
            </w:r>
          </w:p>
        </w:tc>
        <w:tc>
          <w:tcPr>
            <w:tcW w:w="2977" w:type="dxa"/>
            <w:gridSpan w:val="2"/>
            <w:shd w:val="clear" w:color="auto" w:fill="FFF2CC" w:themeFill="accent4" w:themeFillTint="33"/>
            <w:vAlign w:val="center"/>
          </w:tcPr>
          <w:p w:rsidR="00DF52F0" w:rsidRPr="00E55605" w:rsidRDefault="00DF52F0" w:rsidP="00D92A61">
            <w:pPr>
              <w:spacing w:after="0" w:line="240" w:lineRule="auto"/>
              <w:jc w:val="center"/>
              <w:rPr>
                <w:rFonts w:ascii="Arial" w:eastAsia="Times New Roman" w:hAnsi="Arial" w:cs="Arial"/>
                <w:b/>
                <w:sz w:val="18"/>
                <w:szCs w:val="18"/>
                <w:lang w:eastAsia="cs-CZ"/>
              </w:rPr>
            </w:pPr>
            <w:r w:rsidRPr="00E55605">
              <w:rPr>
                <w:rFonts w:ascii="Arial" w:eastAsia="Times New Roman" w:hAnsi="Arial" w:cs="Arial"/>
                <w:b/>
                <w:sz w:val="18"/>
                <w:szCs w:val="18"/>
                <w:lang w:eastAsia="cs-CZ"/>
              </w:rPr>
              <w:t>Model B (přepravně pesimistický)</w:t>
            </w:r>
          </w:p>
        </w:tc>
      </w:tr>
      <w:tr w:rsidR="00DF52F0" w:rsidRPr="00E55605" w:rsidTr="00D3217C">
        <w:trPr>
          <w:trHeight w:val="300"/>
        </w:trPr>
        <w:tc>
          <w:tcPr>
            <w:tcW w:w="2552" w:type="dxa"/>
            <w:shd w:val="clear" w:color="auto" w:fill="FFF2CC" w:themeFill="accent4" w:themeFillTint="33"/>
            <w:vAlign w:val="center"/>
            <w:hideMark/>
          </w:tcPr>
          <w:p w:rsidR="00DF52F0" w:rsidRPr="00E55605" w:rsidRDefault="00DF52F0" w:rsidP="00D92A61">
            <w:pPr>
              <w:spacing w:after="0" w:line="240" w:lineRule="auto"/>
              <w:rPr>
                <w:rFonts w:ascii="Arial" w:eastAsia="Times New Roman" w:hAnsi="Arial" w:cs="Arial"/>
                <w:sz w:val="18"/>
                <w:szCs w:val="18"/>
                <w:lang w:eastAsia="cs-CZ"/>
              </w:rPr>
            </w:pPr>
            <w:r w:rsidRPr="00E55605">
              <w:rPr>
                <w:rFonts w:ascii="Arial" w:eastAsia="Times New Roman" w:hAnsi="Arial" w:cs="Arial"/>
                <w:sz w:val="18"/>
                <w:szCs w:val="18"/>
                <w:lang w:eastAsia="cs-CZ"/>
              </w:rPr>
              <w:t>Model podle tabulky 7</w:t>
            </w:r>
          </w:p>
        </w:tc>
        <w:tc>
          <w:tcPr>
            <w:tcW w:w="1488" w:type="dxa"/>
            <w:shd w:val="clear" w:color="auto" w:fill="FFF2CC" w:themeFill="accent4" w:themeFillTint="33"/>
            <w:vAlign w:val="center"/>
            <w:hideMark/>
          </w:tcPr>
          <w:p w:rsidR="00DF52F0" w:rsidRPr="00E55605" w:rsidRDefault="00DF52F0" w:rsidP="00D92A61">
            <w:pPr>
              <w:spacing w:after="0" w:line="240" w:lineRule="auto"/>
              <w:jc w:val="center"/>
              <w:rPr>
                <w:rFonts w:ascii="Arial" w:eastAsia="Times New Roman" w:hAnsi="Arial" w:cs="Arial"/>
                <w:sz w:val="18"/>
                <w:szCs w:val="18"/>
                <w:lang w:eastAsia="cs-CZ"/>
              </w:rPr>
            </w:pPr>
            <w:r w:rsidRPr="00E55605">
              <w:rPr>
                <w:rFonts w:ascii="Arial" w:eastAsia="Times New Roman" w:hAnsi="Arial" w:cs="Arial"/>
                <w:sz w:val="18"/>
                <w:szCs w:val="18"/>
                <w:lang w:eastAsia="cs-CZ"/>
              </w:rPr>
              <w:t>výdaj</w:t>
            </w:r>
          </w:p>
        </w:tc>
        <w:tc>
          <w:tcPr>
            <w:tcW w:w="1488" w:type="dxa"/>
            <w:shd w:val="clear" w:color="auto" w:fill="FFF2CC" w:themeFill="accent4" w:themeFillTint="33"/>
            <w:vAlign w:val="center"/>
            <w:hideMark/>
          </w:tcPr>
          <w:p w:rsidR="00DF52F0" w:rsidRPr="00E55605" w:rsidRDefault="00DF52F0" w:rsidP="00D92A61">
            <w:pPr>
              <w:spacing w:after="0" w:line="240" w:lineRule="auto"/>
              <w:jc w:val="center"/>
              <w:rPr>
                <w:rFonts w:ascii="Arial" w:eastAsia="Times New Roman" w:hAnsi="Arial" w:cs="Arial"/>
                <w:sz w:val="18"/>
                <w:szCs w:val="18"/>
                <w:lang w:eastAsia="cs-CZ"/>
              </w:rPr>
            </w:pPr>
            <w:r w:rsidRPr="00E55605">
              <w:rPr>
                <w:rFonts w:ascii="Arial" w:eastAsia="Times New Roman" w:hAnsi="Arial" w:cs="Arial"/>
                <w:sz w:val="18"/>
                <w:szCs w:val="18"/>
                <w:lang w:eastAsia="cs-CZ"/>
              </w:rPr>
              <w:t>úspora</w:t>
            </w:r>
          </w:p>
        </w:tc>
        <w:tc>
          <w:tcPr>
            <w:tcW w:w="1488" w:type="dxa"/>
            <w:shd w:val="clear" w:color="auto" w:fill="FFF2CC" w:themeFill="accent4" w:themeFillTint="33"/>
            <w:vAlign w:val="center"/>
          </w:tcPr>
          <w:p w:rsidR="00DF52F0" w:rsidRPr="00E55605" w:rsidRDefault="00DF52F0" w:rsidP="00D92A61">
            <w:pPr>
              <w:spacing w:after="0" w:line="240" w:lineRule="auto"/>
              <w:jc w:val="center"/>
              <w:rPr>
                <w:rFonts w:ascii="Arial" w:eastAsia="Times New Roman" w:hAnsi="Arial" w:cs="Arial"/>
                <w:sz w:val="18"/>
                <w:szCs w:val="18"/>
                <w:lang w:eastAsia="cs-CZ"/>
              </w:rPr>
            </w:pPr>
            <w:r w:rsidRPr="00E55605">
              <w:rPr>
                <w:rFonts w:ascii="Arial" w:eastAsia="Times New Roman" w:hAnsi="Arial" w:cs="Arial"/>
                <w:sz w:val="18"/>
                <w:szCs w:val="18"/>
                <w:lang w:eastAsia="cs-CZ"/>
              </w:rPr>
              <w:t>výdaj</w:t>
            </w:r>
          </w:p>
        </w:tc>
        <w:tc>
          <w:tcPr>
            <w:tcW w:w="1489" w:type="dxa"/>
            <w:shd w:val="clear" w:color="auto" w:fill="FFF2CC" w:themeFill="accent4" w:themeFillTint="33"/>
            <w:vAlign w:val="center"/>
          </w:tcPr>
          <w:p w:rsidR="00DF52F0" w:rsidRPr="00E55605" w:rsidRDefault="00DF52F0" w:rsidP="00D92A61">
            <w:pPr>
              <w:spacing w:after="0" w:line="240" w:lineRule="auto"/>
              <w:jc w:val="center"/>
              <w:rPr>
                <w:rFonts w:ascii="Arial" w:eastAsia="Times New Roman" w:hAnsi="Arial" w:cs="Arial"/>
                <w:sz w:val="18"/>
                <w:szCs w:val="18"/>
                <w:lang w:eastAsia="cs-CZ"/>
              </w:rPr>
            </w:pPr>
            <w:r w:rsidRPr="00E55605">
              <w:rPr>
                <w:rFonts w:ascii="Arial" w:eastAsia="Times New Roman" w:hAnsi="Arial" w:cs="Arial"/>
                <w:sz w:val="18"/>
                <w:szCs w:val="18"/>
                <w:lang w:eastAsia="cs-CZ"/>
              </w:rPr>
              <w:t>úspora</w:t>
            </w:r>
          </w:p>
        </w:tc>
      </w:tr>
      <w:tr w:rsidR="006D6384" w:rsidRPr="00E55605" w:rsidTr="00D3217C">
        <w:trPr>
          <w:trHeight w:val="300"/>
        </w:trPr>
        <w:tc>
          <w:tcPr>
            <w:tcW w:w="2552" w:type="dxa"/>
            <w:shd w:val="clear" w:color="000000" w:fill="FFFFFF"/>
            <w:vAlign w:val="center"/>
            <w:hideMark/>
          </w:tcPr>
          <w:p w:rsidR="006D6384" w:rsidRPr="00E55605" w:rsidRDefault="006D6384" w:rsidP="006D6384">
            <w:pPr>
              <w:spacing w:after="0" w:line="240" w:lineRule="auto"/>
              <w:rPr>
                <w:rFonts w:ascii="Arial" w:eastAsia="Times New Roman" w:hAnsi="Arial" w:cs="Arial"/>
                <w:sz w:val="18"/>
                <w:szCs w:val="18"/>
                <w:lang w:eastAsia="cs-CZ"/>
              </w:rPr>
            </w:pPr>
            <w:r w:rsidRPr="00E55605">
              <w:rPr>
                <w:rFonts w:ascii="Arial" w:eastAsia="Times New Roman" w:hAnsi="Arial" w:cs="Arial"/>
                <w:sz w:val="18"/>
                <w:szCs w:val="18"/>
                <w:lang w:eastAsia="cs-CZ"/>
              </w:rPr>
              <w:t>Dítě/žák, sleva 50 %</w:t>
            </w:r>
          </w:p>
        </w:tc>
        <w:tc>
          <w:tcPr>
            <w:tcW w:w="1488"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1 470,5</w:t>
            </w:r>
          </w:p>
        </w:tc>
        <w:tc>
          <w:tcPr>
            <w:tcW w:w="1488"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735,3</w:t>
            </w:r>
          </w:p>
        </w:tc>
        <w:tc>
          <w:tcPr>
            <w:tcW w:w="1488"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840,8</w:t>
            </w:r>
          </w:p>
        </w:tc>
        <w:tc>
          <w:tcPr>
            <w:tcW w:w="1489"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420,4</w:t>
            </w:r>
          </w:p>
        </w:tc>
      </w:tr>
      <w:tr w:rsidR="006D6384" w:rsidRPr="00E55605" w:rsidTr="00D3217C">
        <w:trPr>
          <w:trHeight w:val="300"/>
        </w:trPr>
        <w:tc>
          <w:tcPr>
            <w:tcW w:w="2552" w:type="dxa"/>
            <w:shd w:val="clear" w:color="000000" w:fill="FFFFFF"/>
            <w:vAlign w:val="center"/>
            <w:hideMark/>
          </w:tcPr>
          <w:p w:rsidR="006D6384" w:rsidRPr="00E55605" w:rsidRDefault="006D6384" w:rsidP="006D6384">
            <w:pPr>
              <w:spacing w:after="0" w:line="240" w:lineRule="auto"/>
              <w:rPr>
                <w:rFonts w:ascii="Arial" w:eastAsia="Times New Roman" w:hAnsi="Arial" w:cs="Arial"/>
                <w:sz w:val="18"/>
                <w:szCs w:val="18"/>
                <w:lang w:eastAsia="cs-CZ"/>
              </w:rPr>
            </w:pPr>
            <w:r w:rsidRPr="00E55605">
              <w:rPr>
                <w:rFonts w:ascii="Arial" w:eastAsia="Times New Roman" w:hAnsi="Arial" w:cs="Arial"/>
                <w:sz w:val="18"/>
                <w:szCs w:val="18"/>
                <w:lang w:eastAsia="cs-CZ"/>
              </w:rPr>
              <w:t>Student, sleva 50 %</w:t>
            </w:r>
          </w:p>
        </w:tc>
        <w:tc>
          <w:tcPr>
            <w:tcW w:w="1488"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1 431,9</w:t>
            </w:r>
          </w:p>
        </w:tc>
        <w:tc>
          <w:tcPr>
            <w:tcW w:w="1488"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716,0</w:t>
            </w:r>
          </w:p>
        </w:tc>
        <w:tc>
          <w:tcPr>
            <w:tcW w:w="1488"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924,3</w:t>
            </w:r>
          </w:p>
        </w:tc>
        <w:tc>
          <w:tcPr>
            <w:tcW w:w="1489" w:type="dxa"/>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462,2</w:t>
            </w:r>
          </w:p>
        </w:tc>
      </w:tr>
      <w:tr w:rsidR="006D6384" w:rsidRPr="00E55605" w:rsidTr="00D3217C">
        <w:trPr>
          <w:trHeight w:val="300"/>
        </w:trPr>
        <w:tc>
          <w:tcPr>
            <w:tcW w:w="2552" w:type="dxa"/>
            <w:tcBorders>
              <w:bottom w:val="single" w:sz="12" w:space="0" w:color="auto"/>
            </w:tcBorders>
            <w:shd w:val="clear" w:color="000000" w:fill="FFFFFF"/>
            <w:vAlign w:val="center"/>
            <w:hideMark/>
          </w:tcPr>
          <w:p w:rsidR="006D6384" w:rsidRPr="00E55605" w:rsidRDefault="006D6384" w:rsidP="006D6384">
            <w:pPr>
              <w:spacing w:after="0" w:line="240" w:lineRule="auto"/>
              <w:rPr>
                <w:rFonts w:ascii="Arial" w:eastAsia="Times New Roman" w:hAnsi="Arial" w:cs="Arial"/>
                <w:sz w:val="18"/>
                <w:szCs w:val="18"/>
                <w:lang w:eastAsia="cs-CZ"/>
              </w:rPr>
            </w:pPr>
            <w:r w:rsidRPr="00E55605">
              <w:rPr>
                <w:rFonts w:ascii="Arial" w:eastAsia="Times New Roman" w:hAnsi="Arial" w:cs="Arial"/>
                <w:sz w:val="18"/>
                <w:szCs w:val="18"/>
                <w:lang w:eastAsia="cs-CZ"/>
              </w:rPr>
              <w:t>Senior 65+, sleva 25 %</w:t>
            </w:r>
          </w:p>
        </w:tc>
        <w:tc>
          <w:tcPr>
            <w:tcW w:w="1488" w:type="dxa"/>
            <w:tcBorders>
              <w:bottom w:val="single" w:sz="12" w:space="0" w:color="auto"/>
            </w:tcBorders>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430,8</w:t>
            </w:r>
          </w:p>
        </w:tc>
        <w:tc>
          <w:tcPr>
            <w:tcW w:w="1488" w:type="dxa"/>
            <w:tcBorders>
              <w:bottom w:val="single" w:sz="12" w:space="0" w:color="auto"/>
            </w:tcBorders>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861,6</w:t>
            </w:r>
          </w:p>
        </w:tc>
        <w:tc>
          <w:tcPr>
            <w:tcW w:w="1488" w:type="dxa"/>
            <w:tcBorders>
              <w:bottom w:val="single" w:sz="12" w:space="0" w:color="auto"/>
            </w:tcBorders>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249,0</w:t>
            </w:r>
          </w:p>
        </w:tc>
        <w:tc>
          <w:tcPr>
            <w:tcW w:w="1489" w:type="dxa"/>
            <w:tcBorders>
              <w:bottom w:val="single" w:sz="12" w:space="0" w:color="auto"/>
            </w:tcBorders>
            <w:shd w:val="clear" w:color="000000" w:fill="FFFFFF"/>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498,1</w:t>
            </w:r>
          </w:p>
        </w:tc>
      </w:tr>
      <w:tr w:rsidR="006D6384" w:rsidRPr="00E55605" w:rsidTr="00D3217C">
        <w:trPr>
          <w:trHeight w:val="300"/>
        </w:trPr>
        <w:tc>
          <w:tcPr>
            <w:tcW w:w="2552" w:type="dxa"/>
            <w:tcBorders>
              <w:top w:val="single" w:sz="12" w:space="0" w:color="auto"/>
              <w:left w:val="single" w:sz="12" w:space="0" w:color="auto"/>
            </w:tcBorders>
            <w:shd w:val="clear" w:color="auto" w:fill="E2EFD9" w:themeFill="accent6" w:themeFillTint="33"/>
            <w:vAlign w:val="center"/>
            <w:hideMark/>
          </w:tcPr>
          <w:p w:rsidR="006D6384" w:rsidRPr="00E55605" w:rsidRDefault="006D6384" w:rsidP="006D6384">
            <w:pPr>
              <w:spacing w:after="0" w:line="240" w:lineRule="auto"/>
              <w:rPr>
                <w:rFonts w:ascii="Arial" w:eastAsia="Times New Roman" w:hAnsi="Arial" w:cs="Arial"/>
                <w:sz w:val="18"/>
                <w:szCs w:val="18"/>
                <w:lang w:eastAsia="cs-CZ"/>
              </w:rPr>
            </w:pPr>
            <w:r w:rsidRPr="00E55605">
              <w:rPr>
                <w:rFonts w:ascii="Arial" w:eastAsia="Times New Roman" w:hAnsi="Arial" w:cs="Arial"/>
                <w:sz w:val="18"/>
                <w:szCs w:val="18"/>
                <w:lang w:eastAsia="cs-CZ"/>
              </w:rPr>
              <w:t>Celkem</w:t>
            </w:r>
          </w:p>
        </w:tc>
        <w:tc>
          <w:tcPr>
            <w:tcW w:w="1488" w:type="dxa"/>
            <w:tcBorders>
              <w:top w:val="single" w:sz="12" w:space="0" w:color="auto"/>
            </w:tcBorders>
            <w:shd w:val="clear" w:color="auto" w:fill="E2EFD9" w:themeFill="accent6" w:themeFillTint="33"/>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3 333,2</w:t>
            </w:r>
          </w:p>
        </w:tc>
        <w:tc>
          <w:tcPr>
            <w:tcW w:w="1488" w:type="dxa"/>
            <w:tcBorders>
              <w:top w:val="single" w:sz="12" w:space="0" w:color="auto"/>
            </w:tcBorders>
            <w:shd w:val="clear" w:color="auto" w:fill="E2EFD9" w:themeFill="accent6" w:themeFillTint="33"/>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2 312,9</w:t>
            </w:r>
          </w:p>
        </w:tc>
        <w:tc>
          <w:tcPr>
            <w:tcW w:w="1488" w:type="dxa"/>
            <w:tcBorders>
              <w:top w:val="single" w:sz="12" w:space="0" w:color="auto"/>
            </w:tcBorders>
            <w:shd w:val="clear" w:color="auto" w:fill="E2EFD9" w:themeFill="accent6" w:themeFillTint="33"/>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2 014,1</w:t>
            </w:r>
          </w:p>
        </w:tc>
        <w:tc>
          <w:tcPr>
            <w:tcW w:w="1489" w:type="dxa"/>
            <w:tcBorders>
              <w:top w:val="single" w:sz="12" w:space="0" w:color="auto"/>
              <w:right w:val="single" w:sz="12" w:space="0" w:color="auto"/>
            </w:tcBorders>
            <w:shd w:val="clear" w:color="auto" w:fill="E2EFD9" w:themeFill="accent6" w:themeFillTint="33"/>
            <w:vAlign w:val="center"/>
          </w:tcPr>
          <w:p w:rsidR="006D6384" w:rsidRPr="00E55605" w:rsidRDefault="006D6384" w:rsidP="006D6384">
            <w:pPr>
              <w:spacing w:after="0" w:line="240" w:lineRule="auto"/>
              <w:jc w:val="center"/>
              <w:rPr>
                <w:rFonts w:ascii="Arial" w:eastAsia="Times New Roman" w:hAnsi="Arial" w:cs="Arial"/>
                <w:sz w:val="18"/>
                <w:szCs w:val="18"/>
                <w:lang w:eastAsia="cs-CZ"/>
              </w:rPr>
            </w:pPr>
            <w:r w:rsidRPr="00E55605">
              <w:rPr>
                <w:rFonts w:ascii="Arial" w:hAnsi="Arial" w:cs="Arial"/>
                <w:sz w:val="18"/>
                <w:szCs w:val="18"/>
              </w:rPr>
              <w:t>1 380,6</w:t>
            </w:r>
          </w:p>
        </w:tc>
      </w:tr>
      <w:tr w:rsidR="006D6384" w:rsidRPr="00E55605" w:rsidTr="00D3217C">
        <w:trPr>
          <w:trHeight w:val="300"/>
        </w:trPr>
        <w:tc>
          <w:tcPr>
            <w:tcW w:w="2552" w:type="dxa"/>
            <w:tcBorders>
              <w:left w:val="single" w:sz="12" w:space="0" w:color="auto"/>
              <w:bottom w:val="single" w:sz="12" w:space="0" w:color="auto"/>
            </w:tcBorders>
            <w:shd w:val="clear" w:color="auto" w:fill="E2EFD9" w:themeFill="accent6" w:themeFillTint="33"/>
            <w:vAlign w:val="center"/>
            <w:hideMark/>
          </w:tcPr>
          <w:p w:rsidR="006D6384" w:rsidRPr="00E55605" w:rsidRDefault="006D6384" w:rsidP="006D6384">
            <w:pPr>
              <w:spacing w:after="0" w:line="240" w:lineRule="auto"/>
              <w:rPr>
                <w:rFonts w:ascii="Arial" w:eastAsia="Times New Roman" w:hAnsi="Arial" w:cs="Arial"/>
                <w:b/>
                <w:bCs/>
                <w:sz w:val="18"/>
                <w:szCs w:val="18"/>
                <w:lang w:eastAsia="cs-CZ"/>
              </w:rPr>
            </w:pPr>
            <w:r w:rsidRPr="00E55605">
              <w:rPr>
                <w:rFonts w:ascii="Arial" w:eastAsia="Times New Roman" w:hAnsi="Arial" w:cs="Arial"/>
                <w:b/>
                <w:bCs/>
                <w:sz w:val="18"/>
                <w:szCs w:val="18"/>
                <w:lang w:eastAsia="cs-CZ"/>
              </w:rPr>
              <w:t>Celkem vč. "tradičních" slev</w:t>
            </w:r>
          </w:p>
        </w:tc>
        <w:tc>
          <w:tcPr>
            <w:tcW w:w="1488" w:type="dxa"/>
            <w:tcBorders>
              <w:bottom w:val="single" w:sz="12" w:space="0" w:color="auto"/>
            </w:tcBorders>
            <w:shd w:val="clear" w:color="auto" w:fill="E2EFD9" w:themeFill="accent6" w:themeFillTint="33"/>
            <w:vAlign w:val="center"/>
          </w:tcPr>
          <w:p w:rsidR="006D6384" w:rsidRPr="00E55605" w:rsidRDefault="006D6384" w:rsidP="006D6384">
            <w:pPr>
              <w:pStyle w:val="Odstavecseseznamem"/>
              <w:spacing w:after="0" w:line="240" w:lineRule="auto"/>
              <w:ind w:left="0"/>
              <w:jc w:val="center"/>
              <w:rPr>
                <w:rFonts w:ascii="Arial" w:eastAsia="Times New Roman" w:hAnsi="Arial" w:cs="Arial"/>
                <w:b/>
                <w:sz w:val="18"/>
                <w:szCs w:val="18"/>
                <w:lang w:eastAsia="cs-CZ"/>
              </w:rPr>
            </w:pPr>
            <w:r w:rsidRPr="00E55605">
              <w:rPr>
                <w:rFonts w:ascii="Arial" w:hAnsi="Arial" w:cs="Arial"/>
                <w:b/>
                <w:sz w:val="18"/>
                <w:szCs w:val="18"/>
              </w:rPr>
              <w:t>3 477,1</w:t>
            </w:r>
          </w:p>
        </w:tc>
        <w:tc>
          <w:tcPr>
            <w:tcW w:w="1488" w:type="dxa"/>
            <w:tcBorders>
              <w:bottom w:val="single" w:sz="12" w:space="0" w:color="auto"/>
            </w:tcBorders>
            <w:shd w:val="clear" w:color="auto" w:fill="E2EFD9" w:themeFill="accent6" w:themeFillTint="33"/>
            <w:vAlign w:val="center"/>
          </w:tcPr>
          <w:p w:rsidR="006D6384" w:rsidRPr="00E55605" w:rsidRDefault="006D6384" w:rsidP="006D6384">
            <w:pPr>
              <w:pStyle w:val="Odstavecseseznamem"/>
              <w:spacing w:after="0" w:line="240" w:lineRule="auto"/>
              <w:ind w:left="0"/>
              <w:jc w:val="center"/>
              <w:rPr>
                <w:rFonts w:ascii="Arial" w:eastAsia="Times New Roman" w:hAnsi="Arial" w:cs="Arial"/>
                <w:b/>
                <w:sz w:val="18"/>
                <w:szCs w:val="18"/>
                <w:lang w:eastAsia="cs-CZ"/>
              </w:rPr>
            </w:pPr>
            <w:r w:rsidRPr="00E55605">
              <w:rPr>
                <w:rFonts w:ascii="Arial" w:hAnsi="Arial" w:cs="Arial"/>
                <w:b/>
                <w:sz w:val="18"/>
                <w:szCs w:val="18"/>
              </w:rPr>
              <w:t>2 312,9</w:t>
            </w:r>
          </w:p>
        </w:tc>
        <w:tc>
          <w:tcPr>
            <w:tcW w:w="1488" w:type="dxa"/>
            <w:tcBorders>
              <w:bottom w:val="single" w:sz="12" w:space="0" w:color="auto"/>
            </w:tcBorders>
            <w:shd w:val="clear" w:color="auto" w:fill="E2EFD9" w:themeFill="accent6" w:themeFillTint="33"/>
            <w:vAlign w:val="center"/>
          </w:tcPr>
          <w:p w:rsidR="006D6384" w:rsidRPr="00E55605" w:rsidRDefault="006D6384" w:rsidP="006D6384">
            <w:pPr>
              <w:pStyle w:val="Odstavecseseznamem"/>
              <w:spacing w:after="0" w:line="240" w:lineRule="auto"/>
              <w:ind w:left="0"/>
              <w:jc w:val="center"/>
              <w:rPr>
                <w:rFonts w:ascii="Arial" w:eastAsia="Times New Roman" w:hAnsi="Arial" w:cs="Arial"/>
                <w:b/>
                <w:sz w:val="18"/>
                <w:szCs w:val="18"/>
                <w:lang w:eastAsia="cs-CZ"/>
              </w:rPr>
            </w:pPr>
            <w:r w:rsidRPr="00E55605">
              <w:rPr>
                <w:rFonts w:ascii="Arial" w:hAnsi="Arial" w:cs="Arial"/>
                <w:b/>
                <w:sz w:val="18"/>
                <w:szCs w:val="18"/>
              </w:rPr>
              <w:t>2 096,2</w:t>
            </w:r>
          </w:p>
        </w:tc>
        <w:tc>
          <w:tcPr>
            <w:tcW w:w="1489" w:type="dxa"/>
            <w:tcBorders>
              <w:bottom w:val="single" w:sz="12" w:space="0" w:color="auto"/>
              <w:right w:val="single" w:sz="12" w:space="0" w:color="auto"/>
            </w:tcBorders>
            <w:shd w:val="clear" w:color="auto" w:fill="E2EFD9" w:themeFill="accent6" w:themeFillTint="33"/>
            <w:vAlign w:val="center"/>
          </w:tcPr>
          <w:p w:rsidR="006D6384" w:rsidRPr="00E55605" w:rsidRDefault="006D6384" w:rsidP="006D6384">
            <w:pPr>
              <w:pStyle w:val="Odstavecseseznamem"/>
              <w:spacing w:after="0" w:line="240" w:lineRule="auto"/>
              <w:ind w:left="460"/>
              <w:rPr>
                <w:rFonts w:ascii="Arial" w:eastAsia="Times New Roman" w:hAnsi="Arial" w:cs="Arial"/>
                <w:b/>
                <w:sz w:val="18"/>
                <w:szCs w:val="18"/>
                <w:lang w:eastAsia="cs-CZ"/>
              </w:rPr>
            </w:pPr>
            <w:r w:rsidRPr="00E55605">
              <w:rPr>
                <w:rFonts w:ascii="Arial" w:hAnsi="Arial" w:cs="Arial"/>
                <w:b/>
                <w:sz w:val="18"/>
                <w:szCs w:val="18"/>
              </w:rPr>
              <w:t>1 380,6</w:t>
            </w:r>
          </w:p>
        </w:tc>
      </w:tr>
    </w:tbl>
    <w:p w:rsidR="001E52F2" w:rsidRPr="00D3217C" w:rsidRDefault="00DF52F0" w:rsidP="003E1167">
      <w:pPr>
        <w:pStyle w:val="Odstavecseseznamem"/>
        <w:numPr>
          <w:ilvl w:val="0"/>
          <w:numId w:val="10"/>
        </w:numPr>
        <w:spacing w:before="120" w:after="120" w:line="240" w:lineRule="auto"/>
        <w:ind w:left="567" w:hanging="567"/>
        <w:contextualSpacing w:val="0"/>
        <w:jc w:val="both"/>
        <w:rPr>
          <w:rFonts w:ascii="Arial" w:hAnsi="Arial" w:cs="Arial"/>
        </w:rPr>
      </w:pPr>
      <w:r w:rsidRPr="00D3217C">
        <w:rPr>
          <w:rFonts w:ascii="Arial" w:hAnsi="Arial" w:cs="Arial"/>
        </w:rPr>
        <w:t>P</w:t>
      </w:r>
      <w:r w:rsidR="009D19C9" w:rsidRPr="00D3217C">
        <w:rPr>
          <w:rFonts w:ascii="Arial" w:hAnsi="Arial" w:cs="Arial"/>
        </w:rPr>
        <w:t>okud se týče dopadů na</w:t>
      </w:r>
      <w:r w:rsidR="003E1167" w:rsidRPr="00D3217C">
        <w:rPr>
          <w:rFonts w:ascii="Arial" w:hAnsi="Arial" w:cs="Arial"/>
        </w:rPr>
        <w:t xml:space="preserve"> další zúčast</w:t>
      </w:r>
      <w:r w:rsidR="009632E2" w:rsidRPr="00D3217C">
        <w:rPr>
          <w:rFonts w:ascii="Arial" w:hAnsi="Arial" w:cs="Arial"/>
        </w:rPr>
        <w:t>něné subjekty, je pomě</w:t>
      </w:r>
      <w:r w:rsidR="00245E76" w:rsidRPr="00D3217C">
        <w:rPr>
          <w:rFonts w:ascii="Arial" w:hAnsi="Arial" w:cs="Arial"/>
        </w:rPr>
        <w:t>rně obtížné tyto dopady stanovit</w:t>
      </w:r>
      <w:r w:rsidR="009632E2" w:rsidRPr="00D3217C">
        <w:rPr>
          <w:rFonts w:ascii="Arial" w:hAnsi="Arial" w:cs="Arial"/>
        </w:rPr>
        <w:t xml:space="preserve">, nicméně na základě údajů z předchozích tabulek lze výdaje a úspory uvedené v tabulce 8 </w:t>
      </w:r>
      <w:r w:rsidR="00245E76" w:rsidRPr="00D3217C">
        <w:rPr>
          <w:rFonts w:ascii="Arial" w:hAnsi="Arial" w:cs="Arial"/>
        </w:rPr>
        <w:t xml:space="preserve">odhadem </w:t>
      </w:r>
      <w:r w:rsidR="009632E2" w:rsidRPr="00D3217C">
        <w:rPr>
          <w:rFonts w:ascii="Arial" w:hAnsi="Arial" w:cs="Arial"/>
        </w:rPr>
        <w:t>rozdělit na jednotlivé oblasti provozu (Open Access, objednávka stá</w:t>
      </w:r>
      <w:r w:rsidR="00245E76" w:rsidRPr="00D3217C">
        <w:rPr>
          <w:rFonts w:ascii="Arial" w:hAnsi="Arial" w:cs="Arial"/>
        </w:rPr>
        <w:t>tu, objednávka krajů). V následující</w:t>
      </w:r>
      <w:r w:rsidR="009632E2" w:rsidRPr="00D3217C">
        <w:rPr>
          <w:rFonts w:ascii="Arial" w:hAnsi="Arial" w:cs="Arial"/>
        </w:rPr>
        <w:t xml:space="preserve"> tabulce </w:t>
      </w:r>
      <w:r w:rsidR="00245E76" w:rsidRPr="00D3217C">
        <w:rPr>
          <w:rFonts w:ascii="Arial" w:hAnsi="Arial" w:cs="Arial"/>
        </w:rPr>
        <w:t xml:space="preserve">č. 9 </w:t>
      </w:r>
      <w:r w:rsidR="009632E2" w:rsidRPr="00D3217C">
        <w:rPr>
          <w:rFonts w:ascii="Arial" w:hAnsi="Arial" w:cs="Arial"/>
        </w:rPr>
        <w:t xml:space="preserve">je viditelné, že </w:t>
      </w:r>
      <w:r w:rsidR="00245E76" w:rsidRPr="00D3217C">
        <w:rPr>
          <w:rFonts w:ascii="Arial" w:hAnsi="Arial" w:cs="Arial"/>
        </w:rPr>
        <w:t>v </w:t>
      </w:r>
      <w:r w:rsidR="009632E2" w:rsidRPr="00D3217C">
        <w:rPr>
          <w:rFonts w:ascii="Arial" w:hAnsi="Arial" w:cs="Arial"/>
        </w:rPr>
        <w:t xml:space="preserve">oblasti železniční Open Access bude zkrácena platba </w:t>
      </w:r>
      <w:r w:rsidR="00D20A80" w:rsidRPr="00D3217C">
        <w:rPr>
          <w:rFonts w:ascii="Arial" w:hAnsi="Arial" w:cs="Arial"/>
        </w:rPr>
        <w:t xml:space="preserve">cca </w:t>
      </w:r>
      <w:r w:rsidR="009632E2" w:rsidRPr="00D3217C">
        <w:rPr>
          <w:rFonts w:ascii="Arial" w:hAnsi="Arial" w:cs="Arial"/>
        </w:rPr>
        <w:t xml:space="preserve">o </w:t>
      </w:r>
      <w:r w:rsidR="00E63154" w:rsidRPr="00D3217C">
        <w:rPr>
          <w:rFonts w:ascii="Arial" w:hAnsi="Arial" w:cs="Arial"/>
        </w:rPr>
        <w:t>160</w:t>
      </w:r>
      <w:r w:rsidR="00132864" w:rsidRPr="00D3217C">
        <w:rPr>
          <w:rFonts w:ascii="Arial" w:hAnsi="Arial" w:cs="Arial"/>
        </w:rPr>
        <w:t xml:space="preserve"> – </w:t>
      </w:r>
      <w:r w:rsidR="00E63154" w:rsidRPr="00D3217C">
        <w:rPr>
          <w:rFonts w:ascii="Arial" w:hAnsi="Arial" w:cs="Arial"/>
        </w:rPr>
        <w:t>260</w:t>
      </w:r>
      <w:r w:rsidR="00132864" w:rsidRPr="00D3217C">
        <w:rPr>
          <w:rFonts w:ascii="Arial" w:hAnsi="Arial" w:cs="Arial"/>
        </w:rPr>
        <w:t xml:space="preserve"> </w:t>
      </w:r>
      <w:r w:rsidR="009632E2" w:rsidRPr="00D3217C">
        <w:rPr>
          <w:rFonts w:ascii="Arial" w:hAnsi="Arial" w:cs="Arial"/>
        </w:rPr>
        <w:t xml:space="preserve">mil. Kč, kraje „přijdou“ o příspěvek v souhrnné výši </w:t>
      </w:r>
      <w:r w:rsidR="00D20A80" w:rsidRPr="00D3217C">
        <w:rPr>
          <w:rFonts w:ascii="Arial" w:hAnsi="Arial" w:cs="Arial"/>
        </w:rPr>
        <w:t xml:space="preserve">cca </w:t>
      </w:r>
      <w:r w:rsidR="00486C2F" w:rsidRPr="00D3217C">
        <w:rPr>
          <w:rFonts w:ascii="Arial" w:hAnsi="Arial" w:cs="Arial"/>
        </w:rPr>
        <w:t xml:space="preserve">950 – </w:t>
      </w:r>
      <w:r w:rsidR="00E63154" w:rsidRPr="00D3217C">
        <w:rPr>
          <w:rFonts w:ascii="Arial" w:hAnsi="Arial" w:cs="Arial"/>
        </w:rPr>
        <w:t>1 540</w:t>
      </w:r>
      <w:r w:rsidR="009632E2" w:rsidRPr="00D3217C">
        <w:rPr>
          <w:rFonts w:ascii="Arial" w:hAnsi="Arial" w:cs="Arial"/>
        </w:rPr>
        <w:t xml:space="preserve"> mil. Kč. Samozřejmě tuto částku lze označit pouze jako výpadek financování, nikoliv jako dopad na</w:t>
      </w:r>
      <w:r w:rsidR="00D20A80" w:rsidRPr="00D3217C">
        <w:rPr>
          <w:rFonts w:ascii="Arial" w:hAnsi="Arial" w:cs="Arial"/>
        </w:rPr>
        <w:t> </w:t>
      </w:r>
      <w:r w:rsidR="009632E2" w:rsidRPr="00D3217C">
        <w:rPr>
          <w:rFonts w:ascii="Arial" w:hAnsi="Arial" w:cs="Arial"/>
        </w:rPr>
        <w:t>dopravce či kraje, neboť slevy zároveň nebudou požadovány a uplatňovány a cestující tedy budou platit vyšší jízdné než snížené hodnoty v době státních slev ve velmi vysoké výši 75 %.</w:t>
      </w:r>
    </w:p>
    <w:p w:rsidR="00B74848" w:rsidRPr="00D3217C" w:rsidRDefault="009632E2"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 xml:space="preserve">Tab. 9: Odhadované dopady na jednotlivé oblasti podnikání pro variantu </w:t>
      </w:r>
      <w:r w:rsidR="002B6AA9" w:rsidRPr="00D3217C">
        <w:rPr>
          <w:rFonts w:ascii="Arial" w:hAnsi="Arial" w:cs="Arial"/>
          <w:b/>
          <w:color w:val="002060"/>
          <w:sz w:val="18"/>
          <w:szCs w:val="18"/>
        </w:rPr>
        <w:t xml:space="preserve">I </w:t>
      </w:r>
      <w:r w:rsidRPr="00D3217C">
        <w:rPr>
          <w:rFonts w:ascii="Arial" w:hAnsi="Arial" w:cs="Arial"/>
          <w:b/>
          <w:color w:val="002060"/>
          <w:sz w:val="18"/>
          <w:szCs w:val="18"/>
        </w:rPr>
        <w:t>doporučenou v tab. 7</w:t>
      </w:r>
    </w:p>
    <w:tbl>
      <w:tblPr>
        <w:tblStyle w:val="Mkatabulky"/>
        <w:tblW w:w="0" w:type="auto"/>
        <w:tblInd w:w="562" w:type="dxa"/>
        <w:tblLayout w:type="fixed"/>
        <w:tblLook w:val="04A0" w:firstRow="1" w:lastRow="0" w:firstColumn="1" w:lastColumn="0" w:noHBand="0" w:noVBand="1"/>
      </w:tblPr>
      <w:tblGrid>
        <w:gridCol w:w="4111"/>
        <w:gridCol w:w="1097"/>
        <w:gridCol w:w="1097"/>
        <w:gridCol w:w="1097"/>
        <w:gridCol w:w="1098"/>
      </w:tblGrid>
      <w:tr w:rsidR="00D20A80" w:rsidRPr="00D3217C" w:rsidTr="00D3217C">
        <w:trPr>
          <w:trHeight w:val="690"/>
        </w:trPr>
        <w:tc>
          <w:tcPr>
            <w:tcW w:w="4111" w:type="dxa"/>
            <w:shd w:val="clear" w:color="auto" w:fill="FFF2CC" w:themeFill="accent4" w:themeFillTint="33"/>
            <w:vAlign w:val="center"/>
            <w:hideMark/>
          </w:tcPr>
          <w:p w:rsidR="00B74848" w:rsidRPr="00D3217C" w:rsidRDefault="00B74848" w:rsidP="00D20A80">
            <w:pPr>
              <w:rPr>
                <w:rFonts w:ascii="Arial" w:hAnsi="Arial" w:cs="Arial"/>
                <w:b/>
                <w:sz w:val="18"/>
                <w:szCs w:val="18"/>
              </w:rPr>
            </w:pPr>
            <w:r w:rsidRPr="00D3217C">
              <w:rPr>
                <w:rFonts w:ascii="Arial" w:hAnsi="Arial" w:cs="Arial"/>
                <w:b/>
                <w:sz w:val="18"/>
                <w:szCs w:val="18"/>
              </w:rPr>
              <w:t xml:space="preserve">Odhadovaná bilance podle jednotlivých </w:t>
            </w:r>
            <w:r w:rsidR="00D20A80" w:rsidRPr="00D3217C">
              <w:rPr>
                <w:rFonts w:ascii="Arial" w:hAnsi="Arial" w:cs="Arial"/>
                <w:b/>
                <w:sz w:val="18"/>
                <w:szCs w:val="18"/>
              </w:rPr>
              <w:t>objednatelů</w:t>
            </w:r>
            <w:r w:rsidR="00EF3B5D" w:rsidRPr="00D3217C">
              <w:rPr>
                <w:rFonts w:ascii="Arial" w:hAnsi="Arial" w:cs="Arial"/>
                <w:b/>
                <w:sz w:val="18"/>
                <w:szCs w:val="18"/>
              </w:rPr>
              <w:t xml:space="preserve"> </w:t>
            </w:r>
            <w:r w:rsidR="00EF3B5D" w:rsidRPr="00D3217C">
              <w:rPr>
                <w:rFonts w:ascii="Arial" w:hAnsi="Arial" w:cs="Arial"/>
                <w:i/>
                <w:sz w:val="18"/>
                <w:szCs w:val="18"/>
              </w:rPr>
              <w:t>(mil. Kč)</w:t>
            </w:r>
          </w:p>
        </w:tc>
        <w:tc>
          <w:tcPr>
            <w:tcW w:w="2194" w:type="dxa"/>
            <w:gridSpan w:val="2"/>
            <w:shd w:val="clear" w:color="auto" w:fill="FFF2CC" w:themeFill="accent4" w:themeFillTint="33"/>
            <w:vAlign w:val="center"/>
            <w:hideMark/>
          </w:tcPr>
          <w:p w:rsidR="00B74848" w:rsidRPr="00D3217C" w:rsidRDefault="00B74848" w:rsidP="00D20A80">
            <w:pPr>
              <w:jc w:val="center"/>
              <w:rPr>
                <w:rFonts w:ascii="Arial" w:hAnsi="Arial" w:cs="Arial"/>
                <w:b/>
                <w:sz w:val="18"/>
                <w:szCs w:val="18"/>
              </w:rPr>
            </w:pPr>
            <w:r w:rsidRPr="00D3217C">
              <w:rPr>
                <w:rFonts w:ascii="Arial" w:hAnsi="Arial" w:cs="Arial"/>
                <w:b/>
                <w:sz w:val="18"/>
                <w:szCs w:val="18"/>
              </w:rPr>
              <w:t>Model A (přepravně optimistický)</w:t>
            </w:r>
          </w:p>
        </w:tc>
        <w:tc>
          <w:tcPr>
            <w:tcW w:w="2195" w:type="dxa"/>
            <w:gridSpan w:val="2"/>
            <w:shd w:val="clear" w:color="auto" w:fill="FFF2CC" w:themeFill="accent4" w:themeFillTint="33"/>
            <w:vAlign w:val="center"/>
            <w:hideMark/>
          </w:tcPr>
          <w:p w:rsidR="00B74848" w:rsidRPr="00D3217C" w:rsidRDefault="00B74848" w:rsidP="00D20A80">
            <w:pPr>
              <w:jc w:val="center"/>
              <w:rPr>
                <w:rFonts w:ascii="Arial" w:hAnsi="Arial" w:cs="Arial"/>
                <w:b/>
                <w:sz w:val="18"/>
                <w:szCs w:val="18"/>
              </w:rPr>
            </w:pPr>
            <w:r w:rsidRPr="00D3217C">
              <w:rPr>
                <w:rFonts w:ascii="Arial" w:hAnsi="Arial" w:cs="Arial"/>
                <w:b/>
                <w:sz w:val="18"/>
                <w:szCs w:val="18"/>
              </w:rPr>
              <w:t>Model B (přepravně pesimistický)</w:t>
            </w:r>
          </w:p>
        </w:tc>
      </w:tr>
      <w:tr w:rsidR="00D20A80" w:rsidRPr="00D3217C" w:rsidTr="00D3217C">
        <w:trPr>
          <w:trHeight w:val="690"/>
        </w:trPr>
        <w:tc>
          <w:tcPr>
            <w:tcW w:w="4111" w:type="dxa"/>
            <w:shd w:val="clear" w:color="auto" w:fill="FFF2CC" w:themeFill="accent4" w:themeFillTint="33"/>
            <w:vAlign w:val="center"/>
            <w:hideMark/>
          </w:tcPr>
          <w:p w:rsidR="00B74848" w:rsidRPr="00D3217C" w:rsidRDefault="00B74848" w:rsidP="00D20A80">
            <w:pPr>
              <w:rPr>
                <w:rFonts w:ascii="Arial" w:hAnsi="Arial" w:cs="Arial"/>
                <w:sz w:val="18"/>
                <w:szCs w:val="18"/>
              </w:rPr>
            </w:pPr>
            <w:r w:rsidRPr="00D3217C">
              <w:rPr>
                <w:rFonts w:ascii="Arial" w:hAnsi="Arial" w:cs="Arial"/>
                <w:sz w:val="18"/>
                <w:szCs w:val="18"/>
              </w:rPr>
              <w:t>Model podle tabulky 7</w:t>
            </w:r>
          </w:p>
        </w:tc>
        <w:tc>
          <w:tcPr>
            <w:tcW w:w="1097" w:type="dxa"/>
            <w:shd w:val="clear" w:color="auto" w:fill="FFF2CC" w:themeFill="accent4" w:themeFillTint="33"/>
            <w:vAlign w:val="center"/>
            <w:hideMark/>
          </w:tcPr>
          <w:p w:rsidR="00B74848" w:rsidRPr="00D3217C" w:rsidRDefault="00B74848" w:rsidP="00D20A80">
            <w:pPr>
              <w:jc w:val="center"/>
              <w:rPr>
                <w:rFonts w:ascii="Arial" w:hAnsi="Arial" w:cs="Arial"/>
                <w:sz w:val="18"/>
                <w:szCs w:val="18"/>
              </w:rPr>
            </w:pPr>
            <w:r w:rsidRPr="00D3217C">
              <w:rPr>
                <w:rFonts w:ascii="Arial" w:hAnsi="Arial" w:cs="Arial"/>
                <w:sz w:val="18"/>
                <w:szCs w:val="18"/>
              </w:rPr>
              <w:t>výdaj</w:t>
            </w:r>
          </w:p>
        </w:tc>
        <w:tc>
          <w:tcPr>
            <w:tcW w:w="1097" w:type="dxa"/>
            <w:shd w:val="clear" w:color="auto" w:fill="FFF2CC" w:themeFill="accent4" w:themeFillTint="33"/>
            <w:vAlign w:val="center"/>
            <w:hideMark/>
          </w:tcPr>
          <w:p w:rsidR="00B74848" w:rsidRPr="00D3217C" w:rsidRDefault="00B74848" w:rsidP="00D20A80">
            <w:pPr>
              <w:jc w:val="center"/>
              <w:rPr>
                <w:rFonts w:ascii="Arial" w:hAnsi="Arial" w:cs="Arial"/>
                <w:sz w:val="18"/>
                <w:szCs w:val="18"/>
              </w:rPr>
            </w:pPr>
            <w:r w:rsidRPr="00D3217C">
              <w:rPr>
                <w:rFonts w:ascii="Arial" w:hAnsi="Arial" w:cs="Arial"/>
                <w:sz w:val="18"/>
                <w:szCs w:val="18"/>
              </w:rPr>
              <w:t>úspora</w:t>
            </w:r>
          </w:p>
        </w:tc>
        <w:tc>
          <w:tcPr>
            <w:tcW w:w="1097" w:type="dxa"/>
            <w:shd w:val="clear" w:color="auto" w:fill="FFF2CC" w:themeFill="accent4" w:themeFillTint="33"/>
            <w:vAlign w:val="center"/>
            <w:hideMark/>
          </w:tcPr>
          <w:p w:rsidR="00B74848" w:rsidRPr="00D3217C" w:rsidRDefault="00B74848" w:rsidP="00D20A80">
            <w:pPr>
              <w:jc w:val="center"/>
              <w:rPr>
                <w:rFonts w:ascii="Arial" w:hAnsi="Arial" w:cs="Arial"/>
                <w:sz w:val="18"/>
                <w:szCs w:val="18"/>
              </w:rPr>
            </w:pPr>
            <w:r w:rsidRPr="00D3217C">
              <w:rPr>
                <w:rFonts w:ascii="Arial" w:hAnsi="Arial" w:cs="Arial"/>
                <w:sz w:val="18"/>
                <w:szCs w:val="18"/>
              </w:rPr>
              <w:t>výdaj</w:t>
            </w:r>
          </w:p>
        </w:tc>
        <w:tc>
          <w:tcPr>
            <w:tcW w:w="1098" w:type="dxa"/>
            <w:shd w:val="clear" w:color="auto" w:fill="FFF2CC" w:themeFill="accent4" w:themeFillTint="33"/>
            <w:vAlign w:val="center"/>
            <w:hideMark/>
          </w:tcPr>
          <w:p w:rsidR="00B74848" w:rsidRPr="00D3217C" w:rsidRDefault="00B74848" w:rsidP="00D20A80">
            <w:pPr>
              <w:jc w:val="center"/>
              <w:rPr>
                <w:rFonts w:ascii="Arial" w:hAnsi="Arial" w:cs="Arial"/>
                <w:sz w:val="18"/>
                <w:szCs w:val="18"/>
              </w:rPr>
            </w:pPr>
            <w:r w:rsidRPr="00D3217C">
              <w:rPr>
                <w:rFonts w:ascii="Arial" w:hAnsi="Arial" w:cs="Arial"/>
                <w:sz w:val="18"/>
                <w:szCs w:val="18"/>
              </w:rPr>
              <w:t>úspora</w:t>
            </w:r>
          </w:p>
        </w:tc>
      </w:tr>
      <w:tr w:rsidR="00132864" w:rsidRPr="00D3217C" w:rsidTr="00D3217C">
        <w:trPr>
          <w:trHeight w:val="300"/>
        </w:trPr>
        <w:tc>
          <w:tcPr>
            <w:tcW w:w="4111" w:type="dxa"/>
            <w:noWrap/>
            <w:vAlign w:val="center"/>
            <w:hideMark/>
          </w:tcPr>
          <w:p w:rsidR="00132864" w:rsidRPr="00D3217C" w:rsidRDefault="00132864" w:rsidP="00132864">
            <w:pPr>
              <w:rPr>
                <w:rFonts w:ascii="Arial" w:hAnsi="Arial" w:cs="Arial"/>
                <w:b/>
                <w:sz w:val="18"/>
                <w:szCs w:val="18"/>
              </w:rPr>
            </w:pPr>
            <w:r w:rsidRPr="00D3217C">
              <w:rPr>
                <w:rFonts w:ascii="Arial" w:hAnsi="Arial" w:cs="Arial"/>
                <w:b/>
                <w:sz w:val="18"/>
                <w:szCs w:val="18"/>
              </w:rPr>
              <w:t>Železniční doprava - úhrada v roce 2019</w:t>
            </w:r>
          </w:p>
        </w:tc>
        <w:tc>
          <w:tcPr>
            <w:tcW w:w="1097" w:type="dxa"/>
            <w:noWrap/>
            <w:vAlign w:val="center"/>
          </w:tcPr>
          <w:p w:rsidR="00132864" w:rsidRPr="00D3217C" w:rsidRDefault="00132864" w:rsidP="00486C2F">
            <w:pPr>
              <w:jc w:val="center"/>
              <w:rPr>
                <w:rFonts w:ascii="Arial" w:hAnsi="Arial" w:cs="Arial"/>
                <w:b/>
                <w:sz w:val="18"/>
                <w:szCs w:val="18"/>
              </w:rPr>
            </w:pPr>
            <w:r w:rsidRPr="00D3217C">
              <w:rPr>
                <w:rFonts w:ascii="Arial" w:hAnsi="Arial" w:cs="Arial"/>
                <w:b/>
                <w:bCs/>
                <w:sz w:val="18"/>
                <w:szCs w:val="18"/>
              </w:rPr>
              <w:t>3 147,1</w:t>
            </w:r>
          </w:p>
        </w:tc>
        <w:tc>
          <w:tcPr>
            <w:tcW w:w="1097" w:type="dxa"/>
            <w:noWrap/>
            <w:vAlign w:val="center"/>
          </w:tcPr>
          <w:p w:rsidR="00132864" w:rsidRPr="00D3217C" w:rsidRDefault="00132864" w:rsidP="00486C2F">
            <w:pPr>
              <w:jc w:val="center"/>
              <w:rPr>
                <w:rFonts w:ascii="Arial" w:hAnsi="Arial" w:cs="Arial"/>
                <w:b/>
                <w:sz w:val="18"/>
                <w:szCs w:val="18"/>
              </w:rPr>
            </w:pPr>
          </w:p>
        </w:tc>
        <w:tc>
          <w:tcPr>
            <w:tcW w:w="1097" w:type="dxa"/>
            <w:noWrap/>
            <w:vAlign w:val="center"/>
          </w:tcPr>
          <w:p w:rsidR="00132864" w:rsidRPr="00D3217C" w:rsidRDefault="00132864" w:rsidP="00486C2F">
            <w:pPr>
              <w:jc w:val="center"/>
              <w:rPr>
                <w:rFonts w:ascii="Arial" w:hAnsi="Arial" w:cs="Arial"/>
                <w:b/>
                <w:sz w:val="18"/>
                <w:szCs w:val="18"/>
              </w:rPr>
            </w:pPr>
            <w:r w:rsidRPr="00D3217C">
              <w:rPr>
                <w:rFonts w:ascii="Arial" w:hAnsi="Arial" w:cs="Arial"/>
                <w:b/>
                <w:bCs/>
                <w:sz w:val="18"/>
                <w:szCs w:val="18"/>
              </w:rPr>
              <w:t>1 953,3</w:t>
            </w:r>
          </w:p>
        </w:tc>
        <w:tc>
          <w:tcPr>
            <w:tcW w:w="1098" w:type="dxa"/>
            <w:noWrap/>
            <w:vAlign w:val="center"/>
          </w:tcPr>
          <w:p w:rsidR="00132864" w:rsidRPr="00D3217C" w:rsidRDefault="00132864" w:rsidP="00486C2F">
            <w:pPr>
              <w:jc w:val="center"/>
              <w:rPr>
                <w:rFonts w:ascii="Arial" w:hAnsi="Arial" w:cs="Arial"/>
                <w:sz w:val="18"/>
                <w:szCs w:val="18"/>
              </w:rPr>
            </w:pPr>
          </w:p>
        </w:tc>
      </w:tr>
      <w:tr w:rsidR="00132864" w:rsidRPr="00D3217C" w:rsidTr="00D3217C">
        <w:trPr>
          <w:trHeight w:val="300"/>
        </w:trPr>
        <w:tc>
          <w:tcPr>
            <w:tcW w:w="4111" w:type="dxa"/>
            <w:noWrap/>
            <w:vAlign w:val="center"/>
            <w:hideMark/>
          </w:tcPr>
          <w:p w:rsidR="00132864" w:rsidRPr="00D3217C" w:rsidRDefault="00132864" w:rsidP="00132864">
            <w:pPr>
              <w:rPr>
                <w:rFonts w:ascii="Arial" w:hAnsi="Arial" w:cs="Arial"/>
                <w:b/>
                <w:sz w:val="18"/>
                <w:szCs w:val="18"/>
              </w:rPr>
            </w:pPr>
            <w:r w:rsidRPr="00D3217C">
              <w:rPr>
                <w:rFonts w:ascii="Arial" w:hAnsi="Arial" w:cs="Arial"/>
                <w:b/>
                <w:sz w:val="18"/>
                <w:szCs w:val="18"/>
              </w:rPr>
              <w:t xml:space="preserve">Přepočet na jednotlivé výhledové modely </w:t>
            </w:r>
          </w:p>
        </w:tc>
        <w:tc>
          <w:tcPr>
            <w:tcW w:w="1097" w:type="dxa"/>
            <w:noWrap/>
            <w:vAlign w:val="center"/>
          </w:tcPr>
          <w:p w:rsidR="00132864" w:rsidRPr="00D3217C" w:rsidRDefault="00132864" w:rsidP="00486C2F">
            <w:pPr>
              <w:jc w:val="center"/>
              <w:rPr>
                <w:rFonts w:ascii="Arial" w:hAnsi="Arial" w:cs="Arial"/>
                <w:b/>
                <w:bCs/>
                <w:sz w:val="18"/>
                <w:szCs w:val="18"/>
              </w:rPr>
            </w:pPr>
            <w:r w:rsidRPr="00D3217C">
              <w:rPr>
                <w:rFonts w:ascii="Arial" w:hAnsi="Arial" w:cs="Arial"/>
                <w:b/>
                <w:bCs/>
                <w:sz w:val="18"/>
                <w:szCs w:val="18"/>
              </w:rPr>
              <w:t>1 890,0</w:t>
            </w:r>
          </w:p>
        </w:tc>
        <w:tc>
          <w:tcPr>
            <w:tcW w:w="1097" w:type="dxa"/>
            <w:noWrap/>
            <w:vAlign w:val="center"/>
          </w:tcPr>
          <w:p w:rsidR="00132864" w:rsidRPr="00D3217C" w:rsidRDefault="00132864" w:rsidP="00486C2F">
            <w:pPr>
              <w:jc w:val="center"/>
              <w:rPr>
                <w:rFonts w:ascii="Arial" w:hAnsi="Arial" w:cs="Arial"/>
                <w:b/>
                <w:bCs/>
                <w:sz w:val="18"/>
                <w:szCs w:val="18"/>
              </w:rPr>
            </w:pPr>
            <w:r w:rsidRPr="00D3217C">
              <w:rPr>
                <w:rFonts w:ascii="Arial" w:hAnsi="Arial" w:cs="Arial"/>
                <w:b/>
                <w:bCs/>
                <w:sz w:val="18"/>
                <w:szCs w:val="18"/>
              </w:rPr>
              <w:t>1 257,2</w:t>
            </w:r>
          </w:p>
        </w:tc>
        <w:tc>
          <w:tcPr>
            <w:tcW w:w="1097" w:type="dxa"/>
            <w:noWrap/>
            <w:vAlign w:val="center"/>
          </w:tcPr>
          <w:p w:rsidR="00132864" w:rsidRPr="00D3217C" w:rsidRDefault="00132864" w:rsidP="00486C2F">
            <w:pPr>
              <w:jc w:val="center"/>
              <w:rPr>
                <w:rFonts w:ascii="Arial" w:hAnsi="Arial" w:cs="Arial"/>
                <w:b/>
                <w:bCs/>
                <w:sz w:val="18"/>
                <w:szCs w:val="18"/>
              </w:rPr>
            </w:pPr>
            <w:r w:rsidRPr="00D3217C">
              <w:rPr>
                <w:rFonts w:ascii="Arial" w:hAnsi="Arial" w:cs="Arial"/>
                <w:b/>
                <w:bCs/>
                <w:sz w:val="18"/>
                <w:szCs w:val="18"/>
              </w:rPr>
              <w:t>1 177,6</w:t>
            </w:r>
          </w:p>
        </w:tc>
        <w:tc>
          <w:tcPr>
            <w:tcW w:w="1098" w:type="dxa"/>
            <w:noWrap/>
            <w:vAlign w:val="center"/>
          </w:tcPr>
          <w:p w:rsidR="00132864" w:rsidRPr="00D3217C" w:rsidRDefault="00132864" w:rsidP="00486C2F">
            <w:pPr>
              <w:jc w:val="center"/>
              <w:rPr>
                <w:rFonts w:ascii="Arial" w:hAnsi="Arial" w:cs="Arial"/>
                <w:sz w:val="18"/>
                <w:szCs w:val="18"/>
              </w:rPr>
            </w:pPr>
            <w:r w:rsidRPr="00D3217C">
              <w:rPr>
                <w:rFonts w:ascii="Arial" w:hAnsi="Arial" w:cs="Arial"/>
                <w:b/>
                <w:bCs/>
                <w:sz w:val="18"/>
                <w:szCs w:val="18"/>
              </w:rPr>
              <w:t>775,6</w:t>
            </w:r>
          </w:p>
        </w:tc>
      </w:tr>
      <w:tr w:rsidR="00132864" w:rsidRPr="00D3217C" w:rsidTr="00D3217C">
        <w:trPr>
          <w:trHeight w:val="300"/>
        </w:trPr>
        <w:tc>
          <w:tcPr>
            <w:tcW w:w="4111" w:type="dxa"/>
            <w:shd w:val="clear" w:color="auto" w:fill="DEEAF6" w:themeFill="accent1" w:themeFillTint="33"/>
            <w:noWrap/>
            <w:vAlign w:val="center"/>
            <w:hideMark/>
          </w:tcPr>
          <w:p w:rsidR="00132864" w:rsidRPr="00D3217C" w:rsidRDefault="00132864" w:rsidP="00132864">
            <w:pPr>
              <w:rPr>
                <w:rFonts w:ascii="Arial" w:hAnsi="Arial" w:cs="Arial"/>
                <w:sz w:val="18"/>
                <w:szCs w:val="18"/>
              </w:rPr>
            </w:pPr>
            <w:r w:rsidRPr="00D3217C">
              <w:rPr>
                <w:rFonts w:ascii="Arial" w:hAnsi="Arial" w:cs="Arial"/>
                <w:sz w:val="18"/>
                <w:szCs w:val="18"/>
              </w:rPr>
              <w:t>Open Access</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385,0</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256,1</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247,7</w:t>
            </w:r>
          </w:p>
        </w:tc>
        <w:tc>
          <w:tcPr>
            <w:tcW w:w="1098"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163,2</w:t>
            </w:r>
          </w:p>
        </w:tc>
      </w:tr>
      <w:tr w:rsidR="00132864" w:rsidRPr="00D3217C" w:rsidTr="00D3217C">
        <w:trPr>
          <w:trHeight w:val="300"/>
        </w:trPr>
        <w:tc>
          <w:tcPr>
            <w:tcW w:w="4111" w:type="dxa"/>
            <w:shd w:val="clear" w:color="auto" w:fill="DEEAF6" w:themeFill="accent1" w:themeFillTint="33"/>
            <w:noWrap/>
            <w:vAlign w:val="center"/>
            <w:hideMark/>
          </w:tcPr>
          <w:p w:rsidR="00132864" w:rsidRPr="00D3217C" w:rsidRDefault="00132864" w:rsidP="00132864">
            <w:pPr>
              <w:rPr>
                <w:rFonts w:ascii="Arial" w:hAnsi="Arial" w:cs="Arial"/>
                <w:sz w:val="18"/>
                <w:szCs w:val="18"/>
              </w:rPr>
            </w:pPr>
            <w:r w:rsidRPr="00D3217C">
              <w:rPr>
                <w:rFonts w:ascii="Arial" w:hAnsi="Arial" w:cs="Arial"/>
                <w:sz w:val="18"/>
                <w:szCs w:val="18"/>
              </w:rPr>
              <w:t>Objednávka státu</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451,2</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300,1</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257,2</w:t>
            </w:r>
          </w:p>
        </w:tc>
        <w:tc>
          <w:tcPr>
            <w:tcW w:w="1098"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169,4</w:t>
            </w:r>
          </w:p>
        </w:tc>
      </w:tr>
      <w:tr w:rsidR="00132864" w:rsidRPr="00D3217C" w:rsidTr="00D3217C">
        <w:trPr>
          <w:trHeight w:val="300"/>
        </w:trPr>
        <w:tc>
          <w:tcPr>
            <w:tcW w:w="4111" w:type="dxa"/>
            <w:shd w:val="clear" w:color="auto" w:fill="DEEAF6" w:themeFill="accent1" w:themeFillTint="33"/>
            <w:noWrap/>
            <w:vAlign w:val="center"/>
            <w:hideMark/>
          </w:tcPr>
          <w:p w:rsidR="00132864" w:rsidRPr="00D3217C" w:rsidRDefault="00132864" w:rsidP="00132864">
            <w:pPr>
              <w:rPr>
                <w:rFonts w:ascii="Arial" w:hAnsi="Arial" w:cs="Arial"/>
                <w:sz w:val="18"/>
                <w:szCs w:val="18"/>
              </w:rPr>
            </w:pPr>
            <w:r w:rsidRPr="00D3217C">
              <w:rPr>
                <w:rFonts w:ascii="Arial" w:hAnsi="Arial" w:cs="Arial"/>
                <w:sz w:val="18"/>
                <w:szCs w:val="18"/>
              </w:rPr>
              <w:t>Objednávka krajů</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1 053,8</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701,0</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672,8</w:t>
            </w:r>
          </w:p>
        </w:tc>
        <w:tc>
          <w:tcPr>
            <w:tcW w:w="1098"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443,1</w:t>
            </w:r>
          </w:p>
        </w:tc>
      </w:tr>
      <w:tr w:rsidR="00132864" w:rsidRPr="00D3217C" w:rsidTr="00D3217C">
        <w:trPr>
          <w:trHeight w:val="300"/>
        </w:trPr>
        <w:tc>
          <w:tcPr>
            <w:tcW w:w="4111" w:type="dxa"/>
            <w:noWrap/>
            <w:vAlign w:val="center"/>
            <w:hideMark/>
          </w:tcPr>
          <w:p w:rsidR="00132864" w:rsidRPr="00D3217C" w:rsidRDefault="00132864" w:rsidP="00132864">
            <w:pPr>
              <w:rPr>
                <w:rFonts w:ascii="Arial" w:hAnsi="Arial" w:cs="Arial"/>
                <w:b/>
                <w:sz w:val="18"/>
                <w:szCs w:val="18"/>
              </w:rPr>
            </w:pPr>
            <w:r w:rsidRPr="00D3217C">
              <w:rPr>
                <w:rFonts w:ascii="Arial" w:hAnsi="Arial" w:cs="Arial"/>
                <w:b/>
                <w:sz w:val="18"/>
                <w:szCs w:val="18"/>
              </w:rPr>
              <w:t>Silniční doprava - úhrada v roce 2019</w:t>
            </w:r>
          </w:p>
        </w:tc>
        <w:tc>
          <w:tcPr>
            <w:tcW w:w="1097" w:type="dxa"/>
            <w:noWrap/>
            <w:vAlign w:val="center"/>
          </w:tcPr>
          <w:p w:rsidR="00132864" w:rsidRPr="00D3217C" w:rsidRDefault="00132864" w:rsidP="00486C2F">
            <w:pPr>
              <w:jc w:val="center"/>
              <w:rPr>
                <w:rFonts w:ascii="Arial" w:hAnsi="Arial" w:cs="Arial"/>
                <w:b/>
                <w:sz w:val="18"/>
                <w:szCs w:val="18"/>
              </w:rPr>
            </w:pPr>
            <w:r w:rsidRPr="00D3217C">
              <w:rPr>
                <w:rFonts w:ascii="Arial" w:hAnsi="Arial" w:cs="Arial"/>
                <w:b/>
                <w:bCs/>
                <w:sz w:val="18"/>
                <w:szCs w:val="18"/>
              </w:rPr>
              <w:t>2 642,8</w:t>
            </w:r>
          </w:p>
        </w:tc>
        <w:tc>
          <w:tcPr>
            <w:tcW w:w="1097" w:type="dxa"/>
            <w:noWrap/>
            <w:vAlign w:val="center"/>
          </w:tcPr>
          <w:p w:rsidR="00132864" w:rsidRPr="00D3217C" w:rsidRDefault="00132864" w:rsidP="00486C2F">
            <w:pPr>
              <w:jc w:val="center"/>
              <w:rPr>
                <w:rFonts w:ascii="Arial" w:hAnsi="Arial" w:cs="Arial"/>
                <w:b/>
                <w:sz w:val="18"/>
                <w:szCs w:val="18"/>
              </w:rPr>
            </w:pPr>
          </w:p>
        </w:tc>
        <w:tc>
          <w:tcPr>
            <w:tcW w:w="1097" w:type="dxa"/>
            <w:noWrap/>
            <w:vAlign w:val="center"/>
          </w:tcPr>
          <w:p w:rsidR="00132864" w:rsidRPr="00D3217C" w:rsidRDefault="00132864" w:rsidP="00486C2F">
            <w:pPr>
              <w:jc w:val="center"/>
              <w:rPr>
                <w:rFonts w:ascii="Arial" w:hAnsi="Arial" w:cs="Arial"/>
                <w:b/>
                <w:sz w:val="18"/>
                <w:szCs w:val="18"/>
              </w:rPr>
            </w:pPr>
            <w:r w:rsidRPr="00D3217C">
              <w:rPr>
                <w:rFonts w:ascii="Arial" w:hAnsi="Arial" w:cs="Arial"/>
                <w:b/>
                <w:bCs/>
                <w:sz w:val="18"/>
                <w:szCs w:val="18"/>
              </w:rPr>
              <w:t>1 523,6</w:t>
            </w:r>
          </w:p>
        </w:tc>
        <w:tc>
          <w:tcPr>
            <w:tcW w:w="1098" w:type="dxa"/>
            <w:noWrap/>
            <w:vAlign w:val="center"/>
          </w:tcPr>
          <w:p w:rsidR="00132864" w:rsidRPr="00D3217C" w:rsidRDefault="00132864" w:rsidP="00486C2F">
            <w:pPr>
              <w:jc w:val="center"/>
              <w:rPr>
                <w:rFonts w:ascii="Arial" w:hAnsi="Arial" w:cs="Arial"/>
                <w:sz w:val="18"/>
                <w:szCs w:val="18"/>
              </w:rPr>
            </w:pPr>
          </w:p>
        </w:tc>
      </w:tr>
      <w:tr w:rsidR="00132864" w:rsidRPr="00D3217C" w:rsidTr="00D3217C">
        <w:trPr>
          <w:trHeight w:val="300"/>
        </w:trPr>
        <w:tc>
          <w:tcPr>
            <w:tcW w:w="4111" w:type="dxa"/>
            <w:noWrap/>
            <w:vAlign w:val="center"/>
            <w:hideMark/>
          </w:tcPr>
          <w:p w:rsidR="00132864" w:rsidRPr="00D3217C" w:rsidRDefault="00132864" w:rsidP="00132864">
            <w:pPr>
              <w:rPr>
                <w:rFonts w:ascii="Arial" w:hAnsi="Arial" w:cs="Arial"/>
                <w:b/>
                <w:sz w:val="18"/>
                <w:szCs w:val="18"/>
              </w:rPr>
            </w:pPr>
            <w:r w:rsidRPr="00D3217C">
              <w:rPr>
                <w:rFonts w:ascii="Arial" w:hAnsi="Arial" w:cs="Arial"/>
                <w:b/>
                <w:sz w:val="18"/>
                <w:szCs w:val="18"/>
              </w:rPr>
              <w:t xml:space="preserve">Přepočet na jednotlivé výhledové modely </w:t>
            </w:r>
          </w:p>
        </w:tc>
        <w:tc>
          <w:tcPr>
            <w:tcW w:w="1097" w:type="dxa"/>
            <w:noWrap/>
            <w:vAlign w:val="center"/>
          </w:tcPr>
          <w:p w:rsidR="00132864" w:rsidRPr="00D3217C" w:rsidRDefault="00132864" w:rsidP="00486C2F">
            <w:pPr>
              <w:jc w:val="center"/>
              <w:rPr>
                <w:rFonts w:ascii="Arial" w:hAnsi="Arial" w:cs="Arial"/>
                <w:b/>
                <w:bCs/>
                <w:sz w:val="18"/>
                <w:szCs w:val="18"/>
              </w:rPr>
            </w:pPr>
            <w:r w:rsidRPr="00D3217C">
              <w:rPr>
                <w:rFonts w:ascii="Arial" w:hAnsi="Arial" w:cs="Arial"/>
                <w:b/>
                <w:bCs/>
                <w:sz w:val="18"/>
                <w:szCs w:val="18"/>
              </w:rPr>
              <w:t>1 587,1</w:t>
            </w:r>
          </w:p>
        </w:tc>
        <w:tc>
          <w:tcPr>
            <w:tcW w:w="1097" w:type="dxa"/>
            <w:noWrap/>
            <w:vAlign w:val="center"/>
          </w:tcPr>
          <w:p w:rsidR="00132864" w:rsidRPr="00D3217C" w:rsidRDefault="00132864" w:rsidP="00486C2F">
            <w:pPr>
              <w:jc w:val="center"/>
              <w:rPr>
                <w:rFonts w:ascii="Arial" w:hAnsi="Arial" w:cs="Arial"/>
                <w:b/>
                <w:bCs/>
                <w:sz w:val="18"/>
                <w:szCs w:val="18"/>
              </w:rPr>
            </w:pPr>
            <w:r w:rsidRPr="00D3217C">
              <w:rPr>
                <w:rFonts w:ascii="Arial" w:hAnsi="Arial" w:cs="Arial"/>
                <w:b/>
                <w:bCs/>
                <w:sz w:val="18"/>
                <w:szCs w:val="18"/>
              </w:rPr>
              <w:t>1 055,7</w:t>
            </w:r>
          </w:p>
        </w:tc>
        <w:tc>
          <w:tcPr>
            <w:tcW w:w="1097" w:type="dxa"/>
            <w:noWrap/>
            <w:vAlign w:val="center"/>
          </w:tcPr>
          <w:p w:rsidR="00132864" w:rsidRPr="00D3217C" w:rsidRDefault="00132864" w:rsidP="00486C2F">
            <w:pPr>
              <w:jc w:val="center"/>
              <w:rPr>
                <w:rFonts w:ascii="Arial" w:hAnsi="Arial" w:cs="Arial"/>
                <w:b/>
                <w:bCs/>
                <w:sz w:val="18"/>
                <w:szCs w:val="18"/>
              </w:rPr>
            </w:pPr>
            <w:r w:rsidRPr="00D3217C">
              <w:rPr>
                <w:rFonts w:ascii="Arial" w:hAnsi="Arial" w:cs="Arial"/>
                <w:b/>
                <w:bCs/>
                <w:sz w:val="18"/>
                <w:szCs w:val="18"/>
              </w:rPr>
              <w:t>918,6</w:t>
            </w:r>
          </w:p>
        </w:tc>
        <w:tc>
          <w:tcPr>
            <w:tcW w:w="1098" w:type="dxa"/>
            <w:noWrap/>
            <w:vAlign w:val="center"/>
          </w:tcPr>
          <w:p w:rsidR="00132864" w:rsidRPr="00D3217C" w:rsidRDefault="00132864" w:rsidP="00486C2F">
            <w:pPr>
              <w:jc w:val="center"/>
              <w:rPr>
                <w:rFonts w:ascii="Arial" w:hAnsi="Arial" w:cs="Arial"/>
                <w:sz w:val="18"/>
                <w:szCs w:val="18"/>
              </w:rPr>
            </w:pPr>
            <w:r w:rsidRPr="00D3217C">
              <w:rPr>
                <w:rFonts w:ascii="Arial" w:hAnsi="Arial" w:cs="Arial"/>
                <w:b/>
                <w:bCs/>
                <w:sz w:val="18"/>
                <w:szCs w:val="18"/>
              </w:rPr>
              <w:t>605,0</w:t>
            </w:r>
          </w:p>
        </w:tc>
      </w:tr>
      <w:tr w:rsidR="00132864" w:rsidRPr="00D3217C" w:rsidTr="00D3217C">
        <w:trPr>
          <w:trHeight w:val="300"/>
        </w:trPr>
        <w:tc>
          <w:tcPr>
            <w:tcW w:w="4111" w:type="dxa"/>
            <w:shd w:val="clear" w:color="auto" w:fill="DEEAF6" w:themeFill="accent1" w:themeFillTint="33"/>
            <w:noWrap/>
            <w:vAlign w:val="center"/>
            <w:hideMark/>
          </w:tcPr>
          <w:p w:rsidR="00132864" w:rsidRPr="00D3217C" w:rsidRDefault="00132864" w:rsidP="00132864">
            <w:pPr>
              <w:rPr>
                <w:rFonts w:ascii="Arial" w:hAnsi="Arial" w:cs="Arial"/>
                <w:sz w:val="18"/>
                <w:szCs w:val="18"/>
              </w:rPr>
            </w:pPr>
            <w:r w:rsidRPr="00D3217C">
              <w:rPr>
                <w:rFonts w:ascii="Arial" w:hAnsi="Arial" w:cs="Arial"/>
                <w:sz w:val="18"/>
                <w:szCs w:val="18"/>
              </w:rPr>
              <w:t>Open Access</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327,6</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217,9</w:t>
            </w:r>
          </w:p>
        </w:tc>
        <w:tc>
          <w:tcPr>
            <w:tcW w:w="1097"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148,5</w:t>
            </w:r>
          </w:p>
        </w:tc>
        <w:tc>
          <w:tcPr>
            <w:tcW w:w="1098" w:type="dxa"/>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97,8</w:t>
            </w:r>
          </w:p>
        </w:tc>
      </w:tr>
      <w:tr w:rsidR="00132864" w:rsidRPr="00D3217C" w:rsidTr="00D3217C">
        <w:trPr>
          <w:trHeight w:val="300"/>
        </w:trPr>
        <w:tc>
          <w:tcPr>
            <w:tcW w:w="4111" w:type="dxa"/>
            <w:tcBorders>
              <w:bottom w:val="single" w:sz="12" w:space="0" w:color="auto"/>
            </w:tcBorders>
            <w:shd w:val="clear" w:color="auto" w:fill="DEEAF6" w:themeFill="accent1" w:themeFillTint="33"/>
            <w:noWrap/>
            <w:vAlign w:val="center"/>
            <w:hideMark/>
          </w:tcPr>
          <w:p w:rsidR="00132864" w:rsidRPr="00D3217C" w:rsidRDefault="00132864" w:rsidP="00132864">
            <w:pPr>
              <w:rPr>
                <w:rFonts w:ascii="Arial" w:hAnsi="Arial" w:cs="Arial"/>
                <w:sz w:val="18"/>
                <w:szCs w:val="18"/>
              </w:rPr>
            </w:pPr>
            <w:r w:rsidRPr="00D3217C">
              <w:rPr>
                <w:rFonts w:ascii="Arial" w:hAnsi="Arial" w:cs="Arial"/>
                <w:sz w:val="18"/>
                <w:szCs w:val="18"/>
              </w:rPr>
              <w:t>Objednávka krajů</w:t>
            </w:r>
          </w:p>
        </w:tc>
        <w:tc>
          <w:tcPr>
            <w:tcW w:w="1097" w:type="dxa"/>
            <w:tcBorders>
              <w:bottom w:val="single" w:sz="12" w:space="0" w:color="auto"/>
            </w:tcBorders>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1 259,5</w:t>
            </w:r>
          </w:p>
        </w:tc>
        <w:tc>
          <w:tcPr>
            <w:tcW w:w="1097" w:type="dxa"/>
            <w:tcBorders>
              <w:bottom w:val="single" w:sz="12" w:space="0" w:color="auto"/>
            </w:tcBorders>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837,8</w:t>
            </w:r>
          </w:p>
        </w:tc>
        <w:tc>
          <w:tcPr>
            <w:tcW w:w="1097" w:type="dxa"/>
            <w:tcBorders>
              <w:bottom w:val="single" w:sz="12" w:space="0" w:color="auto"/>
            </w:tcBorders>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770,1</w:t>
            </w:r>
          </w:p>
        </w:tc>
        <w:tc>
          <w:tcPr>
            <w:tcW w:w="1098" w:type="dxa"/>
            <w:tcBorders>
              <w:bottom w:val="single" w:sz="12" w:space="0" w:color="auto"/>
            </w:tcBorders>
            <w:shd w:val="clear" w:color="auto" w:fill="DEEAF6" w:themeFill="accent1" w:themeFillTint="33"/>
            <w:noWrap/>
            <w:vAlign w:val="center"/>
          </w:tcPr>
          <w:p w:rsidR="00132864" w:rsidRPr="00D3217C" w:rsidRDefault="00132864" w:rsidP="00486C2F">
            <w:pPr>
              <w:jc w:val="center"/>
              <w:rPr>
                <w:rFonts w:ascii="Arial" w:hAnsi="Arial" w:cs="Arial"/>
                <w:sz w:val="18"/>
                <w:szCs w:val="18"/>
              </w:rPr>
            </w:pPr>
            <w:r w:rsidRPr="00D3217C">
              <w:rPr>
                <w:rFonts w:ascii="Arial" w:hAnsi="Arial" w:cs="Arial"/>
                <w:sz w:val="18"/>
                <w:szCs w:val="18"/>
              </w:rPr>
              <w:t>507,2</w:t>
            </w:r>
          </w:p>
        </w:tc>
      </w:tr>
      <w:tr w:rsidR="00132864" w:rsidRPr="00D3217C" w:rsidTr="00D3217C">
        <w:trPr>
          <w:trHeight w:val="300"/>
        </w:trPr>
        <w:tc>
          <w:tcPr>
            <w:tcW w:w="4111" w:type="dxa"/>
            <w:tcBorders>
              <w:top w:val="single" w:sz="12" w:space="0" w:color="auto"/>
              <w:left w:val="single" w:sz="12" w:space="0" w:color="auto"/>
              <w:bottom w:val="single" w:sz="12" w:space="0" w:color="auto"/>
            </w:tcBorders>
            <w:noWrap/>
            <w:vAlign w:val="center"/>
            <w:hideMark/>
          </w:tcPr>
          <w:p w:rsidR="00132864" w:rsidRPr="00D3217C" w:rsidRDefault="00132864" w:rsidP="00132864">
            <w:pPr>
              <w:rPr>
                <w:rFonts w:ascii="Arial" w:hAnsi="Arial" w:cs="Arial"/>
                <w:b/>
                <w:sz w:val="18"/>
                <w:szCs w:val="18"/>
              </w:rPr>
            </w:pPr>
            <w:r w:rsidRPr="00D3217C">
              <w:rPr>
                <w:rFonts w:ascii="Arial" w:hAnsi="Arial" w:cs="Arial"/>
                <w:b/>
                <w:sz w:val="18"/>
                <w:szCs w:val="18"/>
              </w:rPr>
              <w:t>Součet úspor oproti situaci bez provedení reformy slev</w:t>
            </w:r>
          </w:p>
        </w:tc>
        <w:tc>
          <w:tcPr>
            <w:tcW w:w="1097" w:type="dxa"/>
            <w:tcBorders>
              <w:top w:val="single" w:sz="12" w:space="0" w:color="auto"/>
              <w:bottom w:val="single" w:sz="12" w:space="0" w:color="auto"/>
            </w:tcBorders>
            <w:noWrap/>
            <w:vAlign w:val="center"/>
          </w:tcPr>
          <w:p w:rsidR="00132864" w:rsidRPr="00D3217C" w:rsidRDefault="00132864" w:rsidP="00486C2F">
            <w:pPr>
              <w:jc w:val="center"/>
              <w:rPr>
                <w:rFonts w:ascii="Arial" w:hAnsi="Arial" w:cs="Arial"/>
                <w:b/>
                <w:sz w:val="18"/>
                <w:szCs w:val="18"/>
              </w:rPr>
            </w:pPr>
          </w:p>
        </w:tc>
        <w:tc>
          <w:tcPr>
            <w:tcW w:w="1097" w:type="dxa"/>
            <w:tcBorders>
              <w:top w:val="single" w:sz="12" w:space="0" w:color="auto"/>
              <w:bottom w:val="single" w:sz="12" w:space="0" w:color="auto"/>
            </w:tcBorders>
            <w:noWrap/>
            <w:vAlign w:val="center"/>
          </w:tcPr>
          <w:p w:rsidR="00132864" w:rsidRPr="00D3217C" w:rsidRDefault="00132864" w:rsidP="00486C2F">
            <w:pPr>
              <w:jc w:val="center"/>
              <w:rPr>
                <w:rFonts w:ascii="Arial" w:hAnsi="Arial" w:cs="Arial"/>
                <w:b/>
                <w:sz w:val="18"/>
                <w:szCs w:val="18"/>
              </w:rPr>
            </w:pPr>
            <w:r w:rsidRPr="00D3217C">
              <w:rPr>
                <w:rFonts w:ascii="Arial" w:hAnsi="Arial" w:cs="Arial"/>
                <w:b/>
                <w:sz w:val="18"/>
                <w:szCs w:val="18"/>
              </w:rPr>
              <w:t>2 312,9</w:t>
            </w:r>
          </w:p>
        </w:tc>
        <w:tc>
          <w:tcPr>
            <w:tcW w:w="1097" w:type="dxa"/>
            <w:tcBorders>
              <w:top w:val="single" w:sz="12" w:space="0" w:color="auto"/>
              <w:bottom w:val="single" w:sz="12" w:space="0" w:color="auto"/>
            </w:tcBorders>
            <w:noWrap/>
            <w:vAlign w:val="center"/>
          </w:tcPr>
          <w:p w:rsidR="00132864" w:rsidRPr="00D3217C" w:rsidRDefault="00132864" w:rsidP="00486C2F">
            <w:pPr>
              <w:jc w:val="center"/>
              <w:rPr>
                <w:rFonts w:ascii="Arial" w:hAnsi="Arial" w:cs="Arial"/>
                <w:b/>
                <w:sz w:val="18"/>
                <w:szCs w:val="18"/>
              </w:rPr>
            </w:pPr>
          </w:p>
        </w:tc>
        <w:tc>
          <w:tcPr>
            <w:tcW w:w="1098" w:type="dxa"/>
            <w:tcBorders>
              <w:top w:val="single" w:sz="12" w:space="0" w:color="auto"/>
              <w:bottom w:val="single" w:sz="12" w:space="0" w:color="auto"/>
              <w:right w:val="single" w:sz="12" w:space="0" w:color="auto"/>
            </w:tcBorders>
            <w:noWrap/>
            <w:vAlign w:val="center"/>
          </w:tcPr>
          <w:p w:rsidR="00132864" w:rsidRPr="00D3217C" w:rsidRDefault="00132864" w:rsidP="00A64CDF">
            <w:pPr>
              <w:pStyle w:val="Odstavecseseznamem"/>
              <w:numPr>
                <w:ilvl w:val="0"/>
                <w:numId w:val="31"/>
              </w:numPr>
              <w:ind w:left="0" w:hanging="140"/>
              <w:jc w:val="center"/>
              <w:rPr>
                <w:rFonts w:ascii="Arial" w:hAnsi="Arial" w:cs="Arial"/>
                <w:b/>
                <w:sz w:val="18"/>
                <w:szCs w:val="18"/>
              </w:rPr>
            </w:pPr>
            <w:r w:rsidRPr="00D3217C">
              <w:rPr>
                <w:rFonts w:ascii="Arial" w:hAnsi="Arial" w:cs="Arial"/>
                <w:b/>
                <w:sz w:val="18"/>
                <w:szCs w:val="18"/>
              </w:rPr>
              <w:t>380,6</w:t>
            </w:r>
          </w:p>
        </w:tc>
      </w:tr>
    </w:tbl>
    <w:p w:rsidR="002D0769" w:rsidRDefault="009632E2" w:rsidP="002D0769">
      <w:pPr>
        <w:pStyle w:val="Odstavecseseznamem"/>
        <w:numPr>
          <w:ilvl w:val="0"/>
          <w:numId w:val="10"/>
        </w:numPr>
        <w:spacing w:before="120" w:after="120" w:line="240" w:lineRule="auto"/>
        <w:ind w:left="567" w:hanging="567"/>
        <w:contextualSpacing w:val="0"/>
        <w:jc w:val="both"/>
        <w:rPr>
          <w:rFonts w:ascii="Arial" w:hAnsi="Arial" w:cs="Arial"/>
        </w:rPr>
      </w:pPr>
      <w:r w:rsidRPr="00D3217C">
        <w:rPr>
          <w:rFonts w:ascii="Arial" w:hAnsi="Arial" w:cs="Arial"/>
        </w:rPr>
        <w:t xml:space="preserve">Konečně zbývá odpovědět nejkomplikovanější otázku, a sice, jaký bude předpokládaný </w:t>
      </w:r>
      <w:r w:rsidR="00D20A80" w:rsidRPr="00D3217C">
        <w:rPr>
          <w:rFonts w:ascii="Arial" w:hAnsi="Arial" w:cs="Arial"/>
        </w:rPr>
        <w:t xml:space="preserve">střednědobý </w:t>
      </w:r>
      <w:r w:rsidRPr="00D3217C">
        <w:rPr>
          <w:rFonts w:ascii="Arial" w:hAnsi="Arial" w:cs="Arial"/>
        </w:rPr>
        <w:t xml:space="preserve">dopad na veřejné rozpočty z pohledu objednatelů. Využijeme-li předpoklady uvedené v části 3 tohoto materiálu, </w:t>
      </w:r>
      <w:r w:rsidR="00E55605">
        <w:rPr>
          <w:rFonts w:ascii="Arial" w:hAnsi="Arial" w:cs="Arial"/>
        </w:rPr>
        <w:t>zejména v </w:t>
      </w:r>
      <w:r w:rsidR="00E55605" w:rsidRPr="00D905A8">
        <w:rPr>
          <w:rFonts w:ascii="Arial" w:hAnsi="Arial" w:cs="Arial"/>
        </w:rPr>
        <w:t>bodech 49 a 54</w:t>
      </w:r>
      <w:r w:rsidR="005950C9" w:rsidRPr="00D905A8">
        <w:rPr>
          <w:rFonts w:ascii="Arial" w:hAnsi="Arial" w:cs="Arial"/>
        </w:rPr>
        <w:t xml:space="preserve">, </w:t>
      </w:r>
      <w:r w:rsidRPr="00D3217C">
        <w:rPr>
          <w:rFonts w:ascii="Arial" w:hAnsi="Arial" w:cs="Arial"/>
        </w:rPr>
        <w:t xml:space="preserve">pak </w:t>
      </w:r>
      <w:r w:rsidR="005950C9" w:rsidRPr="00D3217C">
        <w:rPr>
          <w:rFonts w:ascii="Arial" w:hAnsi="Arial" w:cs="Arial"/>
        </w:rPr>
        <w:t>je klíčové stanovit průměrný index úbytku výnosů v rámci současného vyrovnávání slev, který vyjadřuje, jakou část z výpadku kompenzací slev budou muset v konečném důsledku zaplatit objednatelé. Protože v uvedené variantě je většina slev upravována ze 75 % na 50 % a pouze sleva pro seniory je snížena na 25 %, odhadujeme, že 85 % bude vyře</w:t>
      </w:r>
      <w:r w:rsidR="001C33E4" w:rsidRPr="00D3217C">
        <w:rPr>
          <w:rFonts w:ascii="Arial" w:hAnsi="Arial" w:cs="Arial"/>
        </w:rPr>
        <w:t>š</w:t>
      </w:r>
      <w:r w:rsidR="005950C9" w:rsidRPr="00D3217C">
        <w:rPr>
          <w:rFonts w:ascii="Arial" w:hAnsi="Arial" w:cs="Arial"/>
        </w:rPr>
        <w:t>eno nárůstem výnosů a 15 % půjde v konečném důsledku na vrub objednatelů. V těchto</w:t>
      </w:r>
      <w:r w:rsidR="00D20A80" w:rsidRPr="00D3217C">
        <w:rPr>
          <w:rFonts w:ascii="Arial" w:hAnsi="Arial" w:cs="Arial"/>
        </w:rPr>
        <w:t xml:space="preserve"> propočtech </w:t>
      </w:r>
      <w:r w:rsidRPr="00D3217C">
        <w:rPr>
          <w:rFonts w:ascii="Arial" w:hAnsi="Arial" w:cs="Arial"/>
        </w:rPr>
        <w:t xml:space="preserve">vychází, že předpokládaný </w:t>
      </w:r>
      <w:r w:rsidR="00D20A80" w:rsidRPr="00D3217C">
        <w:rPr>
          <w:rFonts w:ascii="Arial" w:hAnsi="Arial" w:cs="Arial"/>
        </w:rPr>
        <w:t xml:space="preserve">střednědobý dopad </w:t>
      </w:r>
      <w:r w:rsidRPr="00D3217C">
        <w:rPr>
          <w:rFonts w:ascii="Arial" w:hAnsi="Arial" w:cs="Arial"/>
        </w:rPr>
        <w:t xml:space="preserve">do rozpočtu krajů bude </w:t>
      </w:r>
      <w:r w:rsidR="00D20A80" w:rsidRPr="00D3217C">
        <w:rPr>
          <w:rFonts w:ascii="Arial" w:hAnsi="Arial" w:cs="Arial"/>
        </w:rPr>
        <w:t xml:space="preserve">v několika následujících letech </w:t>
      </w:r>
      <w:r w:rsidR="005950C9" w:rsidRPr="00D3217C">
        <w:rPr>
          <w:rFonts w:ascii="Arial" w:hAnsi="Arial" w:cs="Arial"/>
        </w:rPr>
        <w:t xml:space="preserve">v rozmezí </w:t>
      </w:r>
      <w:r w:rsidR="00DA2246" w:rsidRPr="00D3217C">
        <w:rPr>
          <w:rFonts w:ascii="Arial" w:hAnsi="Arial" w:cs="Arial"/>
        </w:rPr>
        <w:t xml:space="preserve">asi </w:t>
      </w:r>
      <w:r w:rsidR="00A64CDF" w:rsidRPr="00D3217C">
        <w:rPr>
          <w:rFonts w:ascii="Arial" w:hAnsi="Arial" w:cs="Arial"/>
        </w:rPr>
        <w:t>140</w:t>
      </w:r>
      <w:r w:rsidR="005950C9" w:rsidRPr="00D3217C">
        <w:rPr>
          <w:rFonts w:ascii="Arial" w:hAnsi="Arial" w:cs="Arial"/>
        </w:rPr>
        <w:t xml:space="preserve"> – </w:t>
      </w:r>
      <w:r w:rsidR="00A64CDF" w:rsidRPr="00D3217C">
        <w:rPr>
          <w:rFonts w:ascii="Arial" w:hAnsi="Arial" w:cs="Arial"/>
        </w:rPr>
        <w:t>230</w:t>
      </w:r>
      <w:r w:rsidR="005950C9" w:rsidRPr="00D3217C">
        <w:rPr>
          <w:rFonts w:ascii="Arial" w:hAnsi="Arial" w:cs="Arial"/>
        </w:rPr>
        <w:t xml:space="preserve"> </w:t>
      </w:r>
      <w:r w:rsidRPr="00D3217C">
        <w:rPr>
          <w:rFonts w:ascii="Arial" w:hAnsi="Arial" w:cs="Arial"/>
        </w:rPr>
        <w:t xml:space="preserve">mil. Kč </w:t>
      </w:r>
      <w:r w:rsidR="00D20A80" w:rsidRPr="00D3217C">
        <w:rPr>
          <w:rFonts w:ascii="Arial" w:hAnsi="Arial" w:cs="Arial"/>
        </w:rPr>
        <w:t xml:space="preserve">ročně </w:t>
      </w:r>
      <w:r w:rsidRPr="00D3217C">
        <w:rPr>
          <w:rFonts w:ascii="Arial" w:hAnsi="Arial" w:cs="Arial"/>
        </w:rPr>
        <w:t>a v případě rozpočtu MD (objednávka státu)</w:t>
      </w:r>
      <w:r w:rsidR="00B74848" w:rsidRPr="00D3217C">
        <w:rPr>
          <w:rFonts w:ascii="Arial" w:hAnsi="Arial" w:cs="Arial"/>
        </w:rPr>
        <w:t xml:space="preserve"> odhadem</w:t>
      </w:r>
      <w:r w:rsidR="00D20A80" w:rsidRPr="00D3217C">
        <w:rPr>
          <w:rFonts w:ascii="Arial" w:hAnsi="Arial" w:cs="Arial"/>
        </w:rPr>
        <w:t xml:space="preserve"> </w:t>
      </w:r>
      <w:r w:rsidR="00A64CDF" w:rsidRPr="00D3217C">
        <w:rPr>
          <w:rFonts w:ascii="Arial" w:hAnsi="Arial" w:cs="Arial"/>
        </w:rPr>
        <w:t>30</w:t>
      </w:r>
      <w:r w:rsidR="005950C9" w:rsidRPr="00D3217C">
        <w:rPr>
          <w:rFonts w:ascii="Arial" w:hAnsi="Arial" w:cs="Arial"/>
        </w:rPr>
        <w:t xml:space="preserve"> – </w:t>
      </w:r>
      <w:r w:rsidR="00A64CDF" w:rsidRPr="00D3217C">
        <w:rPr>
          <w:rFonts w:ascii="Arial" w:hAnsi="Arial" w:cs="Arial"/>
        </w:rPr>
        <w:t>50</w:t>
      </w:r>
      <w:r w:rsidR="005950C9" w:rsidRPr="00D3217C">
        <w:rPr>
          <w:rFonts w:ascii="Arial" w:hAnsi="Arial" w:cs="Arial"/>
        </w:rPr>
        <w:t xml:space="preserve"> </w:t>
      </w:r>
      <w:r w:rsidRPr="00D3217C">
        <w:rPr>
          <w:rFonts w:ascii="Arial" w:hAnsi="Arial" w:cs="Arial"/>
        </w:rPr>
        <w:t>mil. Kč</w:t>
      </w:r>
      <w:r w:rsidR="00D20A80" w:rsidRPr="00D3217C">
        <w:rPr>
          <w:rFonts w:ascii="Arial" w:hAnsi="Arial" w:cs="Arial"/>
        </w:rPr>
        <w:t xml:space="preserve"> ročně</w:t>
      </w:r>
      <w:r w:rsidRPr="00D3217C">
        <w:rPr>
          <w:rFonts w:ascii="Arial" w:hAnsi="Arial" w:cs="Arial"/>
        </w:rPr>
        <w:t>.</w:t>
      </w:r>
      <w:r w:rsidR="00D20A80" w:rsidRPr="00D3217C">
        <w:rPr>
          <w:rFonts w:ascii="Arial" w:hAnsi="Arial" w:cs="Arial"/>
        </w:rPr>
        <w:t xml:space="preserve"> Uvedený </w:t>
      </w:r>
      <w:r w:rsidR="005950C9" w:rsidRPr="00D3217C">
        <w:rPr>
          <w:rFonts w:ascii="Arial" w:hAnsi="Arial" w:cs="Arial"/>
        </w:rPr>
        <w:t xml:space="preserve">velmi hrubý a řádový </w:t>
      </w:r>
      <w:r w:rsidR="00D20A80" w:rsidRPr="00D3217C">
        <w:rPr>
          <w:rFonts w:ascii="Arial" w:hAnsi="Arial" w:cs="Arial"/>
        </w:rPr>
        <w:t>odhad ale záleží na řadě faktorů: na elasticitě poptávky, na celkovém vývoji poptávky v post-</w:t>
      </w:r>
      <w:proofErr w:type="spellStart"/>
      <w:r w:rsidR="00D20A80" w:rsidRPr="00D3217C">
        <w:rPr>
          <w:rFonts w:ascii="Arial" w:hAnsi="Arial" w:cs="Arial"/>
        </w:rPr>
        <w:t>covidovém</w:t>
      </w:r>
      <w:proofErr w:type="spellEnd"/>
      <w:r w:rsidR="00D20A80" w:rsidRPr="00D3217C">
        <w:rPr>
          <w:rFonts w:ascii="Arial" w:hAnsi="Arial" w:cs="Arial"/>
        </w:rPr>
        <w:t xml:space="preserve"> období, na efektivitě tarifního plánování dopravců (optimalizace tarifu na trh) a</w:t>
      </w:r>
      <w:r w:rsidR="005950C9" w:rsidRPr="00D3217C">
        <w:rPr>
          <w:rFonts w:ascii="Arial" w:hAnsi="Arial" w:cs="Arial"/>
        </w:rPr>
        <w:t> </w:t>
      </w:r>
      <w:r w:rsidR="00D20A80" w:rsidRPr="00D3217C">
        <w:rPr>
          <w:rFonts w:ascii="Arial" w:hAnsi="Arial" w:cs="Arial"/>
        </w:rPr>
        <w:t>v neposlední řadě i na politických požadavcích regionálních objednatelů, týkajících se cen v regionální dopravě.</w:t>
      </w:r>
    </w:p>
    <w:p w:rsidR="00D3217C" w:rsidRPr="00D3217C" w:rsidRDefault="00D3217C" w:rsidP="00D3217C">
      <w:pPr>
        <w:pStyle w:val="Odstavecseseznamem"/>
        <w:spacing w:before="120" w:after="120" w:line="240" w:lineRule="auto"/>
        <w:ind w:left="567"/>
        <w:contextualSpacing w:val="0"/>
        <w:jc w:val="both"/>
        <w:rPr>
          <w:rFonts w:ascii="Arial" w:hAnsi="Arial" w:cs="Arial"/>
        </w:rPr>
      </w:pPr>
    </w:p>
    <w:p w:rsidR="002D0769" w:rsidRPr="00D3217C" w:rsidRDefault="002D0769" w:rsidP="002D0769">
      <w:pPr>
        <w:pStyle w:val="Odstavecseseznamem"/>
        <w:numPr>
          <w:ilvl w:val="1"/>
          <w:numId w:val="30"/>
        </w:numPr>
        <w:spacing w:after="120" w:line="240" w:lineRule="auto"/>
        <w:ind w:left="567" w:hanging="567"/>
        <w:contextualSpacing w:val="0"/>
        <w:jc w:val="both"/>
        <w:rPr>
          <w:rFonts w:ascii="Arial" w:hAnsi="Arial" w:cs="Arial"/>
          <w:b/>
          <w:color w:val="002060"/>
        </w:rPr>
      </w:pPr>
      <w:r w:rsidRPr="00D3217C">
        <w:rPr>
          <w:rFonts w:ascii="Arial" w:hAnsi="Arial" w:cs="Arial"/>
          <w:b/>
          <w:color w:val="002060"/>
        </w:rPr>
        <w:t>Varianta II –</w:t>
      </w:r>
      <w:r w:rsidR="00133BE1" w:rsidRPr="00D3217C">
        <w:rPr>
          <w:rFonts w:ascii="Arial" w:hAnsi="Arial" w:cs="Arial"/>
          <w:b/>
          <w:color w:val="002060"/>
        </w:rPr>
        <w:t xml:space="preserve"> zaměření na podporu cestování</w:t>
      </w:r>
      <w:r w:rsidRPr="00D3217C">
        <w:rPr>
          <w:rFonts w:ascii="Arial" w:hAnsi="Arial" w:cs="Arial"/>
          <w:b/>
          <w:color w:val="002060"/>
        </w:rPr>
        <w:t xml:space="preserve"> seniorů</w:t>
      </w:r>
    </w:p>
    <w:p w:rsidR="002D0769" w:rsidRPr="00D3217C" w:rsidRDefault="002D0769" w:rsidP="002D0769">
      <w:pPr>
        <w:pStyle w:val="Odstavecseseznamem"/>
        <w:numPr>
          <w:ilvl w:val="0"/>
          <w:numId w:val="10"/>
        </w:numPr>
        <w:spacing w:after="120" w:line="240" w:lineRule="auto"/>
        <w:ind w:left="567" w:hanging="567"/>
        <w:contextualSpacing w:val="0"/>
        <w:jc w:val="both"/>
        <w:rPr>
          <w:rFonts w:ascii="Arial" w:hAnsi="Arial" w:cs="Arial"/>
        </w:rPr>
      </w:pPr>
      <w:r w:rsidRPr="00D3217C">
        <w:rPr>
          <w:rFonts w:ascii="Arial" w:hAnsi="Arial" w:cs="Arial"/>
        </w:rPr>
        <w:t>Jako druhou krajní variantu je možné ukázat návrh řešení, u kterého by naopak byla sleva u dětí a studujících pouze 25 % a naopak senioři by měli slevu 50 %. Tuto variantu nelze označit jako zcela vyváženou, neboť je obtížné najít důvod, pro který by podpora skupiny seniorů měla převyšovat podporu dětí. Například v případě cestování čtyřčlenné rodiny s dvěma dospělými a dvěma dětmi by cena odpovídala 3,5 násobku plného jízdného a tedy by rodiny vůbec nemotivovala k používání veřejné dopravy, naopak čtyřčlenná skupina seniorů jedoucí na výlet by zaplatila pouze jízdné, odpovídající 2 plným jízdním dokladům. To lze označit jako nevyvážené. Rovněž lze pochybovat, že pro skupinu seniorů jsou výhody ve veřejné dopravě zá</w:t>
      </w:r>
      <w:r w:rsidR="00DA2246" w:rsidRPr="00D3217C">
        <w:rPr>
          <w:rFonts w:ascii="Arial" w:hAnsi="Arial" w:cs="Arial"/>
        </w:rPr>
        <w:t>sadnější než pro studenty, pro které je mobilita zásadní otázkou v jejich dalším životě a v době studií mohou získat zkušenosti s používáním veřejné dopravy</w:t>
      </w:r>
      <w:r w:rsidRPr="00D3217C">
        <w:rPr>
          <w:rFonts w:ascii="Arial" w:hAnsi="Arial" w:cs="Arial"/>
        </w:rPr>
        <w:t>. Nicméně, pro příklad uvádíme i</w:t>
      </w:r>
      <w:r w:rsidR="00DA2246" w:rsidRPr="00D3217C">
        <w:rPr>
          <w:rFonts w:ascii="Arial" w:hAnsi="Arial" w:cs="Arial"/>
        </w:rPr>
        <w:t> </w:t>
      </w:r>
      <w:r w:rsidRPr="00D3217C">
        <w:rPr>
          <w:rFonts w:ascii="Arial" w:hAnsi="Arial" w:cs="Arial"/>
        </w:rPr>
        <w:t>tuto variantu.</w:t>
      </w:r>
    </w:p>
    <w:p w:rsidR="00E55605" w:rsidRPr="00E55605" w:rsidRDefault="002D0769" w:rsidP="00E55605">
      <w:pPr>
        <w:pStyle w:val="Odstavecseseznamem"/>
        <w:numPr>
          <w:ilvl w:val="0"/>
          <w:numId w:val="10"/>
        </w:numPr>
        <w:spacing w:after="120" w:line="240" w:lineRule="auto"/>
        <w:ind w:left="567" w:hanging="567"/>
        <w:contextualSpacing w:val="0"/>
        <w:jc w:val="both"/>
        <w:rPr>
          <w:rFonts w:ascii="Arial" w:hAnsi="Arial" w:cs="Arial"/>
        </w:rPr>
      </w:pPr>
      <w:r w:rsidRPr="00D3217C">
        <w:rPr>
          <w:rFonts w:ascii="Arial" w:hAnsi="Arial" w:cs="Arial"/>
        </w:rPr>
        <w:t>Následující tabulka ukazu</w:t>
      </w:r>
      <w:r w:rsidR="00D3217C">
        <w:rPr>
          <w:rFonts w:ascii="Arial" w:hAnsi="Arial" w:cs="Arial"/>
        </w:rPr>
        <w:t>je přehled slev ve variantě II.</w:t>
      </w:r>
    </w:p>
    <w:p w:rsidR="002D0769" w:rsidRPr="00D3217C" w:rsidRDefault="002D0769"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Tab. 10: Přehled státem nařízených slev – možný navržený stav ve variantě II</w:t>
      </w:r>
    </w:p>
    <w:tbl>
      <w:tblPr>
        <w:tblStyle w:val="Mkatabulky"/>
        <w:tblW w:w="0" w:type="auto"/>
        <w:tblInd w:w="552" w:type="dxa"/>
        <w:tblLook w:val="04A0" w:firstRow="1" w:lastRow="0" w:firstColumn="1" w:lastColumn="0" w:noHBand="0" w:noVBand="1"/>
      </w:tblPr>
      <w:tblGrid>
        <w:gridCol w:w="1985"/>
        <w:gridCol w:w="1626"/>
        <w:gridCol w:w="1626"/>
        <w:gridCol w:w="1626"/>
        <w:gridCol w:w="1627"/>
      </w:tblGrid>
      <w:tr w:rsidR="002D0769" w:rsidRPr="00D3217C" w:rsidTr="00D3217C">
        <w:tc>
          <w:tcPr>
            <w:tcW w:w="1985" w:type="dxa"/>
            <w:vMerge w:val="restart"/>
            <w:tcBorders>
              <w:top w:val="single" w:sz="12" w:space="0" w:color="auto"/>
              <w:left w:val="single" w:sz="12" w:space="0" w:color="auto"/>
            </w:tcBorders>
            <w:shd w:val="clear" w:color="auto" w:fill="FFF2CC" w:themeFill="accent4" w:themeFillTint="33"/>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 xml:space="preserve">Skupina cestujících </w:t>
            </w:r>
          </w:p>
        </w:tc>
        <w:tc>
          <w:tcPr>
            <w:tcW w:w="6505" w:type="dxa"/>
            <w:gridSpan w:val="4"/>
            <w:tcBorders>
              <w:top w:val="single" w:sz="12" w:space="0" w:color="auto"/>
              <w:right w:val="single" w:sz="12" w:space="0" w:color="auto"/>
            </w:tcBorders>
            <w:shd w:val="clear" w:color="auto" w:fill="FFF2CC" w:themeFill="accent4" w:themeFillTint="33"/>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Přepravní služby zajišťované</w:t>
            </w:r>
          </w:p>
        </w:tc>
      </w:tr>
      <w:tr w:rsidR="002D0769" w:rsidRPr="00D3217C" w:rsidTr="00D3217C">
        <w:tc>
          <w:tcPr>
            <w:tcW w:w="1985" w:type="dxa"/>
            <w:vMerge/>
            <w:tcBorders>
              <w:left w:val="single" w:sz="12" w:space="0" w:color="auto"/>
              <w:bottom w:val="single" w:sz="12" w:space="0" w:color="auto"/>
            </w:tcBorders>
            <w:shd w:val="clear" w:color="auto" w:fill="FFF2CC" w:themeFill="accent4" w:themeFillTint="33"/>
          </w:tcPr>
          <w:p w:rsidR="002D0769" w:rsidRPr="00D3217C" w:rsidRDefault="002D0769" w:rsidP="00E63154">
            <w:pPr>
              <w:spacing w:after="120"/>
              <w:rPr>
                <w:rFonts w:ascii="Arial" w:hAnsi="Arial" w:cs="Arial"/>
                <w:sz w:val="18"/>
                <w:szCs w:val="18"/>
              </w:rPr>
            </w:pPr>
          </w:p>
        </w:tc>
        <w:tc>
          <w:tcPr>
            <w:tcW w:w="1626" w:type="dxa"/>
            <w:tcBorders>
              <w:bottom w:val="single" w:sz="12" w:space="0" w:color="auto"/>
            </w:tcBorders>
            <w:shd w:val="clear" w:color="auto" w:fill="FFF2CC" w:themeFill="accent4" w:themeFillTint="33"/>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IDS mimo MHD</w:t>
            </w:r>
          </w:p>
        </w:tc>
        <w:tc>
          <w:tcPr>
            <w:tcW w:w="1626" w:type="dxa"/>
            <w:tcBorders>
              <w:bottom w:val="single" w:sz="12" w:space="0" w:color="auto"/>
            </w:tcBorders>
            <w:shd w:val="clear" w:color="auto" w:fill="FFF2CC" w:themeFill="accent4" w:themeFillTint="33"/>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železniční mimo IDS</w:t>
            </w:r>
          </w:p>
        </w:tc>
        <w:tc>
          <w:tcPr>
            <w:tcW w:w="1626" w:type="dxa"/>
            <w:tcBorders>
              <w:bottom w:val="single" w:sz="12" w:space="0" w:color="auto"/>
            </w:tcBorders>
            <w:shd w:val="clear" w:color="auto" w:fill="FFF2CC" w:themeFill="accent4" w:themeFillTint="33"/>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autobusová mimo IDS</w:t>
            </w:r>
          </w:p>
        </w:tc>
        <w:tc>
          <w:tcPr>
            <w:tcW w:w="1627" w:type="dxa"/>
            <w:tcBorders>
              <w:bottom w:val="single" w:sz="12" w:space="0" w:color="auto"/>
              <w:right w:val="single" w:sz="12" w:space="0" w:color="auto"/>
            </w:tcBorders>
            <w:shd w:val="clear" w:color="auto" w:fill="FFF2CC" w:themeFill="accent4" w:themeFillTint="33"/>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 xml:space="preserve">MHD </w:t>
            </w:r>
          </w:p>
        </w:tc>
      </w:tr>
      <w:tr w:rsidR="002D0769" w:rsidRPr="00D3217C" w:rsidTr="00D3217C">
        <w:tc>
          <w:tcPr>
            <w:tcW w:w="1985" w:type="dxa"/>
            <w:tcBorders>
              <w:top w:val="single" w:sz="12" w:space="0" w:color="auto"/>
            </w:tcBorders>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děti do 6 let</w:t>
            </w:r>
          </w:p>
        </w:tc>
        <w:tc>
          <w:tcPr>
            <w:tcW w:w="1626" w:type="dxa"/>
            <w:tcBorders>
              <w:top w:val="single" w:sz="12" w:space="0" w:color="auto"/>
            </w:tcBorders>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 max. 2 děti</w:t>
            </w:r>
          </w:p>
        </w:tc>
        <w:tc>
          <w:tcPr>
            <w:tcW w:w="1626" w:type="dxa"/>
            <w:tcBorders>
              <w:top w:val="single" w:sz="12" w:space="0" w:color="auto"/>
            </w:tcBorders>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 max. 2 děti</w:t>
            </w:r>
          </w:p>
        </w:tc>
        <w:tc>
          <w:tcPr>
            <w:tcW w:w="1626" w:type="dxa"/>
            <w:tcBorders>
              <w:top w:val="single" w:sz="12" w:space="0" w:color="auto"/>
            </w:tcBorders>
            <w:shd w:val="clear" w:color="auto" w:fill="FBE4D5" w:themeFill="accent2" w:themeFillTint="33"/>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 xml:space="preserve">bezplatně, </w:t>
            </w:r>
            <w:r w:rsidRPr="00D3217C">
              <w:rPr>
                <w:rFonts w:ascii="Arial" w:hAnsi="Arial" w:cs="Arial"/>
                <w:sz w:val="18"/>
                <w:szCs w:val="18"/>
                <w:shd w:val="clear" w:color="auto" w:fill="FBE4D5" w:themeFill="accent2" w:themeFillTint="33"/>
              </w:rPr>
              <w:t xml:space="preserve">max. </w:t>
            </w:r>
            <w:r w:rsidRPr="00D3217C">
              <w:rPr>
                <w:rFonts w:ascii="Arial" w:hAnsi="Arial" w:cs="Arial"/>
                <w:b/>
                <w:color w:val="C00000"/>
                <w:sz w:val="18"/>
                <w:szCs w:val="18"/>
                <w:shd w:val="clear" w:color="auto" w:fill="FBE4D5" w:themeFill="accent2" w:themeFillTint="33"/>
              </w:rPr>
              <w:t>2</w:t>
            </w:r>
            <w:r w:rsidRPr="00D3217C">
              <w:rPr>
                <w:rFonts w:ascii="Arial" w:hAnsi="Arial" w:cs="Arial"/>
                <w:sz w:val="18"/>
                <w:szCs w:val="18"/>
                <w:shd w:val="clear" w:color="auto" w:fill="FBE4D5" w:themeFill="accent2" w:themeFillTint="33"/>
              </w:rPr>
              <w:t xml:space="preserve"> </w:t>
            </w:r>
            <w:r w:rsidRPr="00D3217C">
              <w:rPr>
                <w:rFonts w:ascii="Arial" w:hAnsi="Arial" w:cs="Arial"/>
                <w:b/>
                <w:color w:val="C00000"/>
                <w:sz w:val="18"/>
                <w:szCs w:val="18"/>
                <w:shd w:val="clear" w:color="auto" w:fill="FBE4D5" w:themeFill="accent2" w:themeFillTint="33"/>
              </w:rPr>
              <w:t>děti</w:t>
            </w:r>
          </w:p>
        </w:tc>
        <w:tc>
          <w:tcPr>
            <w:tcW w:w="1627" w:type="dxa"/>
            <w:tcBorders>
              <w:top w:val="single" w:sz="12" w:space="0" w:color="auto"/>
            </w:tcBorders>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w:t>
            </w:r>
          </w:p>
        </w:tc>
      </w:tr>
      <w:tr w:rsidR="002D0769" w:rsidRPr="00D3217C" w:rsidTr="00D3217C">
        <w:tc>
          <w:tcPr>
            <w:tcW w:w="1985" w:type="dxa"/>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děti 6-18</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25</w:t>
            </w:r>
            <w:r w:rsidR="002D0769" w:rsidRPr="00D3217C">
              <w:rPr>
                <w:rFonts w:ascii="Arial" w:hAnsi="Arial" w:cs="Arial"/>
                <w:sz w:val="18"/>
                <w:szCs w:val="18"/>
              </w:rPr>
              <w:t xml:space="preserve"> %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25</w:t>
            </w:r>
            <w:r w:rsidR="002D0769" w:rsidRPr="00D3217C">
              <w:rPr>
                <w:rFonts w:ascii="Arial" w:hAnsi="Arial" w:cs="Arial"/>
                <w:sz w:val="18"/>
                <w:szCs w:val="18"/>
              </w:rPr>
              <w:t xml:space="preserve"> %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25</w:t>
            </w:r>
            <w:r w:rsidR="002D0769" w:rsidRPr="00D3217C">
              <w:rPr>
                <w:rFonts w:ascii="Arial" w:hAnsi="Arial" w:cs="Arial"/>
                <w:sz w:val="18"/>
                <w:szCs w:val="18"/>
              </w:rPr>
              <w:t xml:space="preserve"> % </w:t>
            </w:r>
          </w:p>
        </w:tc>
        <w:tc>
          <w:tcPr>
            <w:tcW w:w="1627"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w:t>
            </w:r>
          </w:p>
        </w:tc>
      </w:tr>
      <w:tr w:rsidR="002D0769" w:rsidRPr="00D3217C" w:rsidTr="00D3217C">
        <w:tc>
          <w:tcPr>
            <w:tcW w:w="1985" w:type="dxa"/>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 xml:space="preserve">studující 18-26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25</w:t>
            </w:r>
            <w:r w:rsidR="002D0769" w:rsidRPr="00D3217C">
              <w:rPr>
                <w:rFonts w:ascii="Arial" w:hAnsi="Arial" w:cs="Arial"/>
                <w:sz w:val="18"/>
                <w:szCs w:val="18"/>
              </w:rPr>
              <w:t xml:space="preserve">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25</w:t>
            </w:r>
            <w:r w:rsidR="002D0769" w:rsidRPr="00D3217C">
              <w:rPr>
                <w:rFonts w:ascii="Arial" w:hAnsi="Arial" w:cs="Arial"/>
                <w:sz w:val="18"/>
                <w:szCs w:val="18"/>
              </w:rPr>
              <w:t xml:space="preserve"> %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25</w:t>
            </w:r>
            <w:r w:rsidR="002D0769" w:rsidRPr="00D3217C">
              <w:rPr>
                <w:rFonts w:ascii="Arial" w:hAnsi="Arial" w:cs="Arial"/>
                <w:sz w:val="18"/>
                <w:szCs w:val="18"/>
              </w:rPr>
              <w:t xml:space="preserve"> % </w:t>
            </w:r>
          </w:p>
        </w:tc>
        <w:tc>
          <w:tcPr>
            <w:tcW w:w="1627"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w:t>
            </w:r>
          </w:p>
        </w:tc>
      </w:tr>
      <w:tr w:rsidR="002D0769" w:rsidRPr="00D3217C" w:rsidTr="00D3217C">
        <w:tc>
          <w:tcPr>
            <w:tcW w:w="1985" w:type="dxa"/>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senioři 65+</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50</w:t>
            </w:r>
            <w:r w:rsidR="002D0769" w:rsidRPr="00D3217C">
              <w:rPr>
                <w:rFonts w:ascii="Arial" w:hAnsi="Arial" w:cs="Arial"/>
                <w:sz w:val="18"/>
                <w:szCs w:val="18"/>
              </w:rPr>
              <w:t xml:space="preserve">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50</w:t>
            </w:r>
            <w:r w:rsidR="002D0769" w:rsidRPr="00D3217C">
              <w:rPr>
                <w:rFonts w:ascii="Arial" w:hAnsi="Arial" w:cs="Arial"/>
                <w:sz w:val="18"/>
                <w:szCs w:val="18"/>
              </w:rPr>
              <w:t xml:space="preserve"> %</w:t>
            </w:r>
          </w:p>
        </w:tc>
        <w:tc>
          <w:tcPr>
            <w:tcW w:w="1626" w:type="dxa"/>
            <w:shd w:val="clear" w:color="auto" w:fill="E2EFD9" w:themeFill="accent6" w:themeFillTint="33"/>
          </w:tcPr>
          <w:p w:rsidR="002D0769" w:rsidRPr="00D3217C" w:rsidRDefault="00133BE1" w:rsidP="00E63154">
            <w:pPr>
              <w:spacing w:after="120"/>
              <w:jc w:val="center"/>
              <w:rPr>
                <w:rFonts w:ascii="Arial" w:hAnsi="Arial" w:cs="Arial"/>
                <w:sz w:val="18"/>
                <w:szCs w:val="18"/>
              </w:rPr>
            </w:pPr>
            <w:r w:rsidRPr="00D3217C">
              <w:rPr>
                <w:rFonts w:ascii="Arial" w:hAnsi="Arial" w:cs="Arial"/>
                <w:b/>
                <w:color w:val="C00000"/>
                <w:sz w:val="18"/>
                <w:szCs w:val="18"/>
              </w:rPr>
              <w:t>50</w:t>
            </w:r>
            <w:r w:rsidR="002D0769" w:rsidRPr="00D3217C">
              <w:rPr>
                <w:rFonts w:ascii="Arial" w:hAnsi="Arial" w:cs="Arial"/>
                <w:sz w:val="18"/>
                <w:szCs w:val="18"/>
              </w:rPr>
              <w:t xml:space="preserve"> %</w:t>
            </w:r>
          </w:p>
        </w:tc>
        <w:tc>
          <w:tcPr>
            <w:tcW w:w="1627"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w:t>
            </w:r>
          </w:p>
        </w:tc>
      </w:tr>
      <w:tr w:rsidR="002D0769" w:rsidRPr="00D3217C" w:rsidTr="00D3217C">
        <w:tc>
          <w:tcPr>
            <w:tcW w:w="1985" w:type="dxa"/>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ZTP, ZTP/P</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75 %*</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75 %*</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75 %*</w:t>
            </w:r>
          </w:p>
        </w:tc>
        <w:tc>
          <w:tcPr>
            <w:tcW w:w="1627"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w:t>
            </w:r>
          </w:p>
        </w:tc>
      </w:tr>
      <w:tr w:rsidR="002D0769" w:rsidRPr="00D3217C" w:rsidTr="00D3217C">
        <w:tc>
          <w:tcPr>
            <w:tcW w:w="1985" w:type="dxa"/>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průvodce ZTP/P</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w:t>
            </w:r>
          </w:p>
        </w:tc>
        <w:tc>
          <w:tcPr>
            <w:tcW w:w="1627"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bezplatně*</w:t>
            </w:r>
          </w:p>
        </w:tc>
      </w:tr>
      <w:tr w:rsidR="002D0769" w:rsidRPr="00D3217C" w:rsidTr="00D3217C">
        <w:tc>
          <w:tcPr>
            <w:tcW w:w="1985" w:type="dxa"/>
          </w:tcPr>
          <w:p w:rsidR="002D0769" w:rsidRPr="00D3217C" w:rsidRDefault="002D0769" w:rsidP="00E63154">
            <w:pPr>
              <w:spacing w:after="120"/>
              <w:rPr>
                <w:rFonts w:ascii="Arial" w:hAnsi="Arial" w:cs="Arial"/>
                <w:sz w:val="18"/>
                <w:szCs w:val="18"/>
              </w:rPr>
            </w:pPr>
            <w:r w:rsidRPr="00D3217C">
              <w:rPr>
                <w:rFonts w:ascii="Arial" w:hAnsi="Arial" w:cs="Arial"/>
                <w:sz w:val="18"/>
                <w:szCs w:val="18"/>
              </w:rPr>
              <w:t>rodiče dětí v ústavech</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50 %</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50 %</w:t>
            </w:r>
          </w:p>
        </w:tc>
        <w:tc>
          <w:tcPr>
            <w:tcW w:w="1626"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50 %</w:t>
            </w:r>
          </w:p>
        </w:tc>
        <w:tc>
          <w:tcPr>
            <w:tcW w:w="1627" w:type="dxa"/>
          </w:tcPr>
          <w:p w:rsidR="002D0769" w:rsidRPr="00D3217C" w:rsidRDefault="002D0769" w:rsidP="00E63154">
            <w:pPr>
              <w:spacing w:after="120"/>
              <w:jc w:val="center"/>
              <w:rPr>
                <w:rFonts w:ascii="Arial" w:hAnsi="Arial" w:cs="Arial"/>
                <w:sz w:val="18"/>
                <w:szCs w:val="18"/>
              </w:rPr>
            </w:pPr>
            <w:r w:rsidRPr="00D3217C">
              <w:rPr>
                <w:rFonts w:ascii="Arial" w:hAnsi="Arial" w:cs="Arial"/>
                <w:sz w:val="18"/>
                <w:szCs w:val="18"/>
              </w:rPr>
              <w:t>---</w:t>
            </w:r>
          </w:p>
        </w:tc>
      </w:tr>
    </w:tbl>
    <w:p w:rsidR="002D0769" w:rsidRPr="00D3217C" w:rsidRDefault="002D0769" w:rsidP="00D3217C">
      <w:pPr>
        <w:spacing w:after="120" w:line="240" w:lineRule="auto"/>
        <w:ind w:left="567"/>
        <w:jc w:val="both"/>
        <w:rPr>
          <w:rFonts w:ascii="Arial" w:hAnsi="Arial" w:cs="Arial"/>
          <w:i/>
          <w:sz w:val="18"/>
          <w:szCs w:val="18"/>
        </w:rPr>
      </w:pPr>
      <w:r w:rsidRPr="00D3217C">
        <w:rPr>
          <w:rFonts w:ascii="Arial" w:hAnsi="Arial" w:cs="Arial"/>
          <w:i/>
          <w:sz w:val="18"/>
          <w:szCs w:val="18"/>
        </w:rPr>
        <w:t>* nárok vyplývá za zákona o poskytování dávek osobám se zdravotním postižením</w:t>
      </w:r>
    </w:p>
    <w:p w:rsidR="00133BE1" w:rsidRPr="00D3217C" w:rsidRDefault="00133BE1" w:rsidP="00133BE1">
      <w:pPr>
        <w:pStyle w:val="Odstavecseseznamem"/>
        <w:numPr>
          <w:ilvl w:val="0"/>
          <w:numId w:val="10"/>
        </w:numPr>
        <w:spacing w:after="120" w:line="240" w:lineRule="auto"/>
        <w:ind w:left="567" w:hanging="567"/>
        <w:contextualSpacing w:val="0"/>
        <w:jc w:val="both"/>
        <w:rPr>
          <w:rFonts w:ascii="Arial" w:hAnsi="Arial" w:cs="Arial"/>
        </w:rPr>
      </w:pPr>
      <w:r w:rsidRPr="00D3217C">
        <w:rPr>
          <w:rFonts w:ascii="Arial" w:hAnsi="Arial" w:cs="Arial"/>
        </w:rPr>
        <w:t xml:space="preserve">Dopady pro státní rozpočet opět vyplývají z tabulek uvedených v části 2.3 tohoto materiálu. Tyto hodnoty jsou přehledně uvedeny v tabulce č. 11; v této tabulce jsou pro oba scénáře převzaty příslušné hodnoty pro jednotlivé úpravy slev ze 75 % na 25 % (děti a studenti), popřípadě ze 75 % na 50 % (skupina seniorů). V takovém případě je rozpětí úspor oproti situaci, kdy by slevy zůstaly v současné výši, odhadován pro státní rozpočet na </w:t>
      </w:r>
      <w:r w:rsidR="00FD6C0E" w:rsidRPr="00D3217C">
        <w:rPr>
          <w:rFonts w:ascii="Arial" w:hAnsi="Arial" w:cs="Arial"/>
        </w:rPr>
        <w:t xml:space="preserve">2,0 – 3,3 </w:t>
      </w:r>
      <w:r w:rsidRPr="00D3217C">
        <w:rPr>
          <w:rFonts w:ascii="Arial" w:hAnsi="Arial" w:cs="Arial"/>
        </w:rPr>
        <w:t>mld. Kč. Tak velké rozpětí odhadu je opětovně dáno velkým rozpětím odhadovaných cellových výnosů ve veřejné dopravě, které je v době doznívající pandemie COVID-19 zatíženo velkým rozptylem, jak bylo již podrobněji uvedeno v části 2.3 tohoto materiálu, protože neznáme elasticitu poptávky ani její celkový vývoj v době po odeznění pandemie, nebyl by přesnější odhad odpovědný.</w:t>
      </w:r>
    </w:p>
    <w:p w:rsidR="00133BE1" w:rsidRPr="00D3217C" w:rsidRDefault="002B6AA9"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Tab. 11</w:t>
      </w:r>
      <w:r w:rsidR="00133BE1" w:rsidRPr="00D3217C">
        <w:rPr>
          <w:rFonts w:ascii="Arial" w:hAnsi="Arial" w:cs="Arial"/>
          <w:b/>
          <w:color w:val="002060"/>
          <w:sz w:val="18"/>
          <w:szCs w:val="18"/>
        </w:rPr>
        <w:t xml:space="preserve">: Odhadované úspory pro státní rozpočet pro variantu </w:t>
      </w:r>
      <w:r w:rsidRPr="00D3217C">
        <w:rPr>
          <w:rFonts w:ascii="Arial" w:hAnsi="Arial" w:cs="Arial"/>
          <w:b/>
          <w:color w:val="002060"/>
          <w:sz w:val="18"/>
          <w:szCs w:val="18"/>
        </w:rPr>
        <w:t xml:space="preserve">II </w:t>
      </w:r>
      <w:r w:rsidR="00133BE1" w:rsidRPr="00D3217C">
        <w:rPr>
          <w:rFonts w:ascii="Arial" w:hAnsi="Arial" w:cs="Arial"/>
          <w:b/>
          <w:color w:val="002060"/>
          <w:sz w:val="18"/>
          <w:szCs w:val="18"/>
        </w:rPr>
        <w:t>doporučenou</w:t>
      </w:r>
      <w:r w:rsidRPr="00D3217C">
        <w:rPr>
          <w:rFonts w:ascii="Arial" w:hAnsi="Arial" w:cs="Arial"/>
          <w:b/>
          <w:color w:val="002060"/>
          <w:sz w:val="18"/>
          <w:szCs w:val="18"/>
        </w:rPr>
        <w:t xml:space="preserve"> v tab. 10</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559"/>
        <w:gridCol w:w="1559"/>
        <w:gridCol w:w="1559"/>
        <w:gridCol w:w="1560"/>
      </w:tblGrid>
      <w:tr w:rsidR="0024289E" w:rsidRPr="00D3217C" w:rsidTr="00D3217C">
        <w:trPr>
          <w:trHeight w:val="510"/>
        </w:trPr>
        <w:tc>
          <w:tcPr>
            <w:tcW w:w="2268" w:type="dxa"/>
            <w:shd w:val="clear" w:color="auto" w:fill="FFF2CC" w:themeFill="accent4" w:themeFillTint="33"/>
            <w:vAlign w:val="center"/>
            <w:hideMark/>
          </w:tcPr>
          <w:p w:rsidR="00133BE1" w:rsidRPr="00D3217C" w:rsidRDefault="00133BE1" w:rsidP="00E63154">
            <w:pPr>
              <w:spacing w:after="0" w:line="240" w:lineRule="auto"/>
              <w:rPr>
                <w:rFonts w:ascii="Arial" w:eastAsia="Times New Roman" w:hAnsi="Arial" w:cs="Arial"/>
                <w:b/>
                <w:sz w:val="18"/>
                <w:szCs w:val="18"/>
                <w:lang w:eastAsia="cs-CZ"/>
              </w:rPr>
            </w:pPr>
            <w:r w:rsidRPr="00D3217C">
              <w:rPr>
                <w:rFonts w:ascii="Arial" w:eastAsia="Times New Roman" w:hAnsi="Arial" w:cs="Arial"/>
                <w:b/>
                <w:sz w:val="18"/>
                <w:szCs w:val="18"/>
                <w:lang w:eastAsia="cs-CZ"/>
              </w:rPr>
              <w:t xml:space="preserve">Odhadovaná bilance pro státní rozpočet </w:t>
            </w:r>
            <w:r w:rsidRPr="00D3217C">
              <w:rPr>
                <w:rFonts w:ascii="Arial" w:eastAsia="Times New Roman" w:hAnsi="Arial" w:cs="Arial"/>
                <w:i/>
                <w:sz w:val="18"/>
                <w:szCs w:val="18"/>
                <w:lang w:eastAsia="cs-CZ"/>
              </w:rPr>
              <w:t>(mil. Kč)</w:t>
            </w:r>
          </w:p>
        </w:tc>
        <w:tc>
          <w:tcPr>
            <w:tcW w:w="3118" w:type="dxa"/>
            <w:gridSpan w:val="2"/>
            <w:shd w:val="clear" w:color="auto" w:fill="FFF2CC" w:themeFill="accent4" w:themeFillTint="33"/>
            <w:vAlign w:val="center"/>
            <w:hideMark/>
          </w:tcPr>
          <w:p w:rsidR="00133BE1" w:rsidRPr="00D3217C" w:rsidRDefault="00133BE1" w:rsidP="00E63154">
            <w:pPr>
              <w:spacing w:after="0" w:line="240" w:lineRule="auto"/>
              <w:jc w:val="center"/>
              <w:rPr>
                <w:rFonts w:ascii="Arial" w:eastAsia="Times New Roman" w:hAnsi="Arial" w:cs="Arial"/>
                <w:b/>
                <w:sz w:val="18"/>
                <w:szCs w:val="18"/>
                <w:lang w:eastAsia="cs-CZ"/>
              </w:rPr>
            </w:pPr>
            <w:r w:rsidRPr="00D3217C">
              <w:rPr>
                <w:rFonts w:ascii="Arial" w:eastAsia="Times New Roman" w:hAnsi="Arial" w:cs="Arial"/>
                <w:b/>
                <w:sz w:val="18"/>
                <w:szCs w:val="18"/>
                <w:lang w:eastAsia="cs-CZ"/>
              </w:rPr>
              <w:t>Model A (přepravně optimistický)</w:t>
            </w:r>
          </w:p>
        </w:tc>
        <w:tc>
          <w:tcPr>
            <w:tcW w:w="3119" w:type="dxa"/>
            <w:gridSpan w:val="2"/>
            <w:shd w:val="clear" w:color="auto" w:fill="FFF2CC" w:themeFill="accent4" w:themeFillTint="33"/>
            <w:vAlign w:val="center"/>
          </w:tcPr>
          <w:p w:rsidR="00133BE1" w:rsidRPr="00D3217C" w:rsidRDefault="00133BE1" w:rsidP="00E63154">
            <w:pPr>
              <w:spacing w:after="0" w:line="240" w:lineRule="auto"/>
              <w:jc w:val="center"/>
              <w:rPr>
                <w:rFonts w:ascii="Arial" w:eastAsia="Times New Roman" w:hAnsi="Arial" w:cs="Arial"/>
                <w:b/>
                <w:sz w:val="18"/>
                <w:szCs w:val="18"/>
                <w:lang w:eastAsia="cs-CZ"/>
              </w:rPr>
            </w:pPr>
            <w:r w:rsidRPr="00D3217C">
              <w:rPr>
                <w:rFonts w:ascii="Arial" w:eastAsia="Times New Roman" w:hAnsi="Arial" w:cs="Arial"/>
                <w:b/>
                <w:sz w:val="18"/>
                <w:szCs w:val="18"/>
                <w:lang w:eastAsia="cs-CZ"/>
              </w:rPr>
              <w:t>Model B (přepravně pesimistický)</w:t>
            </w:r>
          </w:p>
        </w:tc>
      </w:tr>
      <w:tr w:rsidR="0024289E" w:rsidRPr="00D3217C" w:rsidTr="00D3217C">
        <w:trPr>
          <w:trHeight w:val="300"/>
        </w:trPr>
        <w:tc>
          <w:tcPr>
            <w:tcW w:w="2268" w:type="dxa"/>
            <w:shd w:val="clear" w:color="auto" w:fill="FFF2CC" w:themeFill="accent4" w:themeFillTint="33"/>
            <w:vAlign w:val="center"/>
            <w:hideMark/>
          </w:tcPr>
          <w:p w:rsidR="00133BE1" w:rsidRPr="00D3217C" w:rsidRDefault="00133BE1" w:rsidP="00E63154">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Model podle tabulky 7</w:t>
            </w:r>
          </w:p>
        </w:tc>
        <w:tc>
          <w:tcPr>
            <w:tcW w:w="1559" w:type="dxa"/>
            <w:shd w:val="clear" w:color="auto" w:fill="FFF2CC" w:themeFill="accent4" w:themeFillTint="33"/>
            <w:vAlign w:val="center"/>
            <w:hideMark/>
          </w:tcPr>
          <w:p w:rsidR="00133BE1" w:rsidRPr="00D3217C" w:rsidRDefault="00133BE1" w:rsidP="00E63154">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výdaj</w:t>
            </w:r>
          </w:p>
        </w:tc>
        <w:tc>
          <w:tcPr>
            <w:tcW w:w="1559" w:type="dxa"/>
            <w:shd w:val="clear" w:color="auto" w:fill="FFF2CC" w:themeFill="accent4" w:themeFillTint="33"/>
            <w:vAlign w:val="center"/>
            <w:hideMark/>
          </w:tcPr>
          <w:p w:rsidR="00133BE1" w:rsidRPr="00D3217C" w:rsidRDefault="00133BE1" w:rsidP="00E63154">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úspora</w:t>
            </w:r>
          </w:p>
        </w:tc>
        <w:tc>
          <w:tcPr>
            <w:tcW w:w="1559" w:type="dxa"/>
            <w:shd w:val="clear" w:color="auto" w:fill="FFF2CC" w:themeFill="accent4" w:themeFillTint="33"/>
            <w:vAlign w:val="center"/>
          </w:tcPr>
          <w:p w:rsidR="00133BE1" w:rsidRPr="00D3217C" w:rsidRDefault="00133BE1" w:rsidP="00E63154">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výdaj</w:t>
            </w:r>
          </w:p>
        </w:tc>
        <w:tc>
          <w:tcPr>
            <w:tcW w:w="1560" w:type="dxa"/>
            <w:shd w:val="clear" w:color="auto" w:fill="FFF2CC" w:themeFill="accent4" w:themeFillTint="33"/>
            <w:vAlign w:val="center"/>
          </w:tcPr>
          <w:p w:rsidR="00133BE1" w:rsidRPr="00D3217C" w:rsidRDefault="00133BE1" w:rsidP="00E63154">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úspora</w:t>
            </w:r>
          </w:p>
        </w:tc>
      </w:tr>
      <w:tr w:rsidR="0024289E" w:rsidRPr="00D3217C" w:rsidTr="00D3217C">
        <w:trPr>
          <w:trHeight w:val="300"/>
        </w:trPr>
        <w:tc>
          <w:tcPr>
            <w:tcW w:w="2268" w:type="dxa"/>
            <w:shd w:val="clear" w:color="000000" w:fill="FFFFFF"/>
            <w:vAlign w:val="center"/>
            <w:hideMark/>
          </w:tcPr>
          <w:p w:rsidR="00FD6C0E" w:rsidRPr="00D3217C" w:rsidRDefault="00B63AFA" w:rsidP="00FD6C0E">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Dítě/žák, sleva 25</w:t>
            </w:r>
            <w:r w:rsidR="00FD6C0E" w:rsidRPr="00D3217C">
              <w:rPr>
                <w:rFonts w:ascii="Arial" w:eastAsia="Times New Roman" w:hAnsi="Arial" w:cs="Arial"/>
                <w:sz w:val="18"/>
                <w:szCs w:val="18"/>
                <w:lang w:eastAsia="cs-CZ"/>
              </w:rPr>
              <w:t xml:space="preserve"> %</w:t>
            </w:r>
          </w:p>
        </w:tc>
        <w:tc>
          <w:tcPr>
            <w:tcW w:w="1559"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735,3</w:t>
            </w:r>
          </w:p>
        </w:tc>
        <w:tc>
          <w:tcPr>
            <w:tcW w:w="1559"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1 470,5</w:t>
            </w:r>
          </w:p>
        </w:tc>
        <w:tc>
          <w:tcPr>
            <w:tcW w:w="1559"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420,4</w:t>
            </w:r>
          </w:p>
        </w:tc>
        <w:tc>
          <w:tcPr>
            <w:tcW w:w="1560"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840,8</w:t>
            </w:r>
          </w:p>
        </w:tc>
      </w:tr>
      <w:tr w:rsidR="0024289E" w:rsidRPr="00D3217C" w:rsidTr="00D3217C">
        <w:trPr>
          <w:trHeight w:val="300"/>
        </w:trPr>
        <w:tc>
          <w:tcPr>
            <w:tcW w:w="2268" w:type="dxa"/>
            <w:shd w:val="clear" w:color="000000" w:fill="FFFFFF"/>
            <w:vAlign w:val="center"/>
            <w:hideMark/>
          </w:tcPr>
          <w:p w:rsidR="00FD6C0E" w:rsidRPr="00D3217C" w:rsidRDefault="00B63AFA" w:rsidP="00FD6C0E">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Student, sleva 25</w:t>
            </w:r>
            <w:r w:rsidR="00FD6C0E" w:rsidRPr="00D3217C">
              <w:rPr>
                <w:rFonts w:ascii="Arial" w:eastAsia="Times New Roman" w:hAnsi="Arial" w:cs="Arial"/>
                <w:sz w:val="18"/>
                <w:szCs w:val="18"/>
                <w:lang w:eastAsia="cs-CZ"/>
              </w:rPr>
              <w:t xml:space="preserve"> %</w:t>
            </w:r>
          </w:p>
        </w:tc>
        <w:tc>
          <w:tcPr>
            <w:tcW w:w="1559"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716,0</w:t>
            </w:r>
          </w:p>
        </w:tc>
        <w:tc>
          <w:tcPr>
            <w:tcW w:w="1559"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1 431,9</w:t>
            </w:r>
          </w:p>
        </w:tc>
        <w:tc>
          <w:tcPr>
            <w:tcW w:w="1559"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462,2</w:t>
            </w:r>
          </w:p>
        </w:tc>
        <w:tc>
          <w:tcPr>
            <w:tcW w:w="1560" w:type="dxa"/>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924,3</w:t>
            </w:r>
          </w:p>
        </w:tc>
      </w:tr>
      <w:tr w:rsidR="0024289E" w:rsidRPr="00D3217C" w:rsidTr="00D3217C">
        <w:trPr>
          <w:trHeight w:val="300"/>
        </w:trPr>
        <w:tc>
          <w:tcPr>
            <w:tcW w:w="2268" w:type="dxa"/>
            <w:tcBorders>
              <w:bottom w:val="single" w:sz="12" w:space="0" w:color="auto"/>
            </w:tcBorders>
            <w:shd w:val="clear" w:color="000000" w:fill="FFFFFF"/>
            <w:vAlign w:val="center"/>
            <w:hideMark/>
          </w:tcPr>
          <w:p w:rsidR="00FD6C0E" w:rsidRPr="00D3217C" w:rsidRDefault="00B63AFA" w:rsidP="00FD6C0E">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Senior 65+, sleva 50</w:t>
            </w:r>
            <w:r w:rsidR="00FD6C0E" w:rsidRPr="00D3217C">
              <w:rPr>
                <w:rFonts w:ascii="Arial" w:eastAsia="Times New Roman" w:hAnsi="Arial" w:cs="Arial"/>
                <w:sz w:val="18"/>
                <w:szCs w:val="18"/>
                <w:lang w:eastAsia="cs-CZ"/>
              </w:rPr>
              <w:t xml:space="preserve"> %</w:t>
            </w:r>
          </w:p>
        </w:tc>
        <w:tc>
          <w:tcPr>
            <w:tcW w:w="1559" w:type="dxa"/>
            <w:tcBorders>
              <w:bottom w:val="single" w:sz="12" w:space="0" w:color="auto"/>
            </w:tcBorders>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861,6</w:t>
            </w:r>
          </w:p>
        </w:tc>
        <w:tc>
          <w:tcPr>
            <w:tcW w:w="1559" w:type="dxa"/>
            <w:tcBorders>
              <w:bottom w:val="single" w:sz="12" w:space="0" w:color="auto"/>
            </w:tcBorders>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430,8</w:t>
            </w:r>
          </w:p>
        </w:tc>
        <w:tc>
          <w:tcPr>
            <w:tcW w:w="1559" w:type="dxa"/>
            <w:tcBorders>
              <w:bottom w:val="single" w:sz="12" w:space="0" w:color="auto"/>
            </w:tcBorders>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498,1</w:t>
            </w:r>
          </w:p>
        </w:tc>
        <w:tc>
          <w:tcPr>
            <w:tcW w:w="1560" w:type="dxa"/>
            <w:tcBorders>
              <w:bottom w:val="single" w:sz="12" w:space="0" w:color="auto"/>
            </w:tcBorders>
            <w:shd w:val="clear" w:color="000000" w:fill="FFFFFF"/>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249,0</w:t>
            </w:r>
          </w:p>
        </w:tc>
      </w:tr>
      <w:tr w:rsidR="0024289E" w:rsidRPr="00D3217C" w:rsidTr="00D3217C">
        <w:trPr>
          <w:trHeight w:val="300"/>
        </w:trPr>
        <w:tc>
          <w:tcPr>
            <w:tcW w:w="2268" w:type="dxa"/>
            <w:tcBorders>
              <w:top w:val="single" w:sz="12" w:space="0" w:color="auto"/>
              <w:left w:val="single" w:sz="12" w:space="0" w:color="auto"/>
            </w:tcBorders>
            <w:shd w:val="clear" w:color="auto" w:fill="E2EFD9" w:themeFill="accent6" w:themeFillTint="33"/>
            <w:vAlign w:val="center"/>
            <w:hideMark/>
          </w:tcPr>
          <w:p w:rsidR="00FD6C0E" w:rsidRPr="00D3217C" w:rsidRDefault="00FD6C0E" w:rsidP="00FD6C0E">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Celkem</w:t>
            </w:r>
          </w:p>
        </w:tc>
        <w:tc>
          <w:tcPr>
            <w:tcW w:w="1559" w:type="dxa"/>
            <w:tcBorders>
              <w:top w:val="single" w:sz="12" w:space="0" w:color="auto"/>
            </w:tcBorders>
            <w:shd w:val="clear" w:color="auto" w:fill="E2EFD9" w:themeFill="accent6" w:themeFillTint="33"/>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2 312,9</w:t>
            </w:r>
          </w:p>
        </w:tc>
        <w:tc>
          <w:tcPr>
            <w:tcW w:w="1559" w:type="dxa"/>
            <w:tcBorders>
              <w:top w:val="single" w:sz="12" w:space="0" w:color="auto"/>
            </w:tcBorders>
            <w:shd w:val="clear" w:color="auto" w:fill="E2EFD9" w:themeFill="accent6" w:themeFillTint="33"/>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3 333,2</w:t>
            </w:r>
          </w:p>
        </w:tc>
        <w:tc>
          <w:tcPr>
            <w:tcW w:w="1559" w:type="dxa"/>
            <w:tcBorders>
              <w:top w:val="single" w:sz="12" w:space="0" w:color="auto"/>
            </w:tcBorders>
            <w:shd w:val="clear" w:color="auto" w:fill="E2EFD9" w:themeFill="accent6" w:themeFillTint="33"/>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1 380,6</w:t>
            </w:r>
          </w:p>
        </w:tc>
        <w:tc>
          <w:tcPr>
            <w:tcW w:w="1560" w:type="dxa"/>
            <w:tcBorders>
              <w:top w:val="single" w:sz="12" w:space="0" w:color="auto"/>
              <w:right w:val="single" w:sz="12" w:space="0" w:color="auto"/>
            </w:tcBorders>
            <w:shd w:val="clear" w:color="auto" w:fill="E2EFD9" w:themeFill="accent6" w:themeFillTint="33"/>
            <w:vAlign w:val="center"/>
          </w:tcPr>
          <w:p w:rsidR="00FD6C0E" w:rsidRPr="00D3217C" w:rsidRDefault="00FD6C0E" w:rsidP="00FD6C0E">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2 014,1</w:t>
            </w:r>
          </w:p>
        </w:tc>
      </w:tr>
      <w:tr w:rsidR="0024289E" w:rsidRPr="00D3217C" w:rsidTr="00D3217C">
        <w:trPr>
          <w:trHeight w:val="300"/>
        </w:trPr>
        <w:tc>
          <w:tcPr>
            <w:tcW w:w="2268" w:type="dxa"/>
            <w:tcBorders>
              <w:left w:val="single" w:sz="12" w:space="0" w:color="auto"/>
              <w:bottom w:val="single" w:sz="12" w:space="0" w:color="auto"/>
            </w:tcBorders>
            <w:shd w:val="clear" w:color="auto" w:fill="E2EFD9" w:themeFill="accent6" w:themeFillTint="33"/>
            <w:vAlign w:val="center"/>
            <w:hideMark/>
          </w:tcPr>
          <w:p w:rsidR="00FD6C0E" w:rsidRPr="00D3217C" w:rsidRDefault="00FD6C0E" w:rsidP="00FD6C0E">
            <w:pPr>
              <w:spacing w:after="0" w:line="240" w:lineRule="auto"/>
              <w:rPr>
                <w:rFonts w:ascii="Arial" w:eastAsia="Times New Roman" w:hAnsi="Arial" w:cs="Arial"/>
                <w:b/>
                <w:bCs/>
                <w:sz w:val="18"/>
                <w:szCs w:val="18"/>
                <w:lang w:eastAsia="cs-CZ"/>
              </w:rPr>
            </w:pPr>
            <w:r w:rsidRPr="00D3217C">
              <w:rPr>
                <w:rFonts w:ascii="Arial" w:eastAsia="Times New Roman" w:hAnsi="Arial" w:cs="Arial"/>
                <w:b/>
                <w:bCs/>
                <w:sz w:val="18"/>
                <w:szCs w:val="18"/>
                <w:lang w:eastAsia="cs-CZ"/>
              </w:rPr>
              <w:t>Celkem vč. "tradičních" slev</w:t>
            </w:r>
          </w:p>
        </w:tc>
        <w:tc>
          <w:tcPr>
            <w:tcW w:w="1559" w:type="dxa"/>
            <w:tcBorders>
              <w:bottom w:val="single" w:sz="12" w:space="0" w:color="auto"/>
            </w:tcBorders>
            <w:shd w:val="clear" w:color="auto" w:fill="E2EFD9" w:themeFill="accent6" w:themeFillTint="33"/>
            <w:vAlign w:val="center"/>
          </w:tcPr>
          <w:p w:rsidR="00FD6C0E" w:rsidRPr="00D3217C" w:rsidRDefault="00FD6C0E" w:rsidP="00FD6C0E">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2 456,7</w:t>
            </w:r>
          </w:p>
        </w:tc>
        <w:tc>
          <w:tcPr>
            <w:tcW w:w="1559" w:type="dxa"/>
            <w:tcBorders>
              <w:bottom w:val="single" w:sz="12" w:space="0" w:color="auto"/>
            </w:tcBorders>
            <w:shd w:val="clear" w:color="auto" w:fill="E2EFD9" w:themeFill="accent6" w:themeFillTint="33"/>
            <w:vAlign w:val="center"/>
          </w:tcPr>
          <w:p w:rsidR="00FD6C0E" w:rsidRPr="00D3217C" w:rsidRDefault="00FD6C0E" w:rsidP="00FD6C0E">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3 333,2</w:t>
            </w:r>
          </w:p>
        </w:tc>
        <w:tc>
          <w:tcPr>
            <w:tcW w:w="1559" w:type="dxa"/>
            <w:tcBorders>
              <w:bottom w:val="single" w:sz="12" w:space="0" w:color="auto"/>
            </w:tcBorders>
            <w:shd w:val="clear" w:color="auto" w:fill="E2EFD9" w:themeFill="accent6" w:themeFillTint="33"/>
            <w:vAlign w:val="center"/>
          </w:tcPr>
          <w:p w:rsidR="00FD6C0E" w:rsidRPr="00D3217C" w:rsidRDefault="00FD6C0E" w:rsidP="00FD6C0E">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1 462,7</w:t>
            </w:r>
          </w:p>
        </w:tc>
        <w:tc>
          <w:tcPr>
            <w:tcW w:w="1560" w:type="dxa"/>
            <w:tcBorders>
              <w:bottom w:val="single" w:sz="12" w:space="0" w:color="auto"/>
              <w:right w:val="single" w:sz="12" w:space="0" w:color="auto"/>
            </w:tcBorders>
            <w:shd w:val="clear" w:color="auto" w:fill="E2EFD9" w:themeFill="accent6" w:themeFillTint="33"/>
            <w:vAlign w:val="center"/>
          </w:tcPr>
          <w:p w:rsidR="00FD6C0E" w:rsidRPr="00D3217C" w:rsidRDefault="00FD6C0E" w:rsidP="00FD6C0E">
            <w:pPr>
              <w:pStyle w:val="Odstavecseseznamem"/>
              <w:spacing w:after="0" w:line="240" w:lineRule="auto"/>
              <w:ind w:left="460"/>
              <w:rPr>
                <w:rFonts w:ascii="Arial" w:eastAsia="Times New Roman" w:hAnsi="Arial" w:cs="Arial"/>
                <w:b/>
                <w:sz w:val="18"/>
                <w:szCs w:val="18"/>
                <w:lang w:eastAsia="cs-CZ"/>
              </w:rPr>
            </w:pPr>
            <w:r w:rsidRPr="00D3217C">
              <w:rPr>
                <w:rFonts w:ascii="Arial" w:hAnsi="Arial" w:cs="Arial"/>
                <w:b/>
                <w:sz w:val="18"/>
                <w:szCs w:val="18"/>
              </w:rPr>
              <w:t>2 014,1</w:t>
            </w:r>
          </w:p>
        </w:tc>
      </w:tr>
    </w:tbl>
    <w:p w:rsidR="00133BE1" w:rsidRPr="00D3217C" w:rsidRDefault="00133BE1" w:rsidP="00133BE1">
      <w:pPr>
        <w:pStyle w:val="Odstavecseseznamem"/>
        <w:numPr>
          <w:ilvl w:val="0"/>
          <w:numId w:val="10"/>
        </w:numPr>
        <w:spacing w:before="120" w:after="120" w:line="240" w:lineRule="auto"/>
        <w:ind w:left="567" w:hanging="567"/>
        <w:contextualSpacing w:val="0"/>
        <w:jc w:val="both"/>
        <w:rPr>
          <w:rFonts w:ascii="Arial" w:hAnsi="Arial" w:cs="Arial"/>
        </w:rPr>
      </w:pPr>
      <w:r w:rsidRPr="00D3217C">
        <w:rPr>
          <w:rFonts w:ascii="Arial" w:hAnsi="Arial" w:cs="Arial"/>
        </w:rPr>
        <w:t>Pokud se týče dopadů na další zúčast</w:t>
      </w:r>
      <w:r w:rsidR="002B6AA9" w:rsidRPr="00D3217C">
        <w:rPr>
          <w:rFonts w:ascii="Arial" w:hAnsi="Arial" w:cs="Arial"/>
        </w:rPr>
        <w:t xml:space="preserve">něné subjekty, stejně jako v předchozí variantě je </w:t>
      </w:r>
      <w:r w:rsidRPr="00D3217C">
        <w:rPr>
          <w:rFonts w:ascii="Arial" w:hAnsi="Arial" w:cs="Arial"/>
        </w:rPr>
        <w:t>obtížné</w:t>
      </w:r>
      <w:r w:rsidR="002B6AA9" w:rsidRPr="00D3217C">
        <w:rPr>
          <w:rFonts w:ascii="Arial" w:hAnsi="Arial" w:cs="Arial"/>
        </w:rPr>
        <w:t xml:space="preserve"> </w:t>
      </w:r>
      <w:r w:rsidRPr="00D3217C">
        <w:rPr>
          <w:rFonts w:ascii="Arial" w:hAnsi="Arial" w:cs="Arial"/>
        </w:rPr>
        <w:t xml:space="preserve"> tyto dopady stanovit, nicméně na základě údajů z předchozích tabulek lze výd</w:t>
      </w:r>
      <w:r w:rsidR="00DA2246" w:rsidRPr="00D3217C">
        <w:rPr>
          <w:rFonts w:ascii="Arial" w:hAnsi="Arial" w:cs="Arial"/>
        </w:rPr>
        <w:t>aje a úspory uvedené v tabulce 10</w:t>
      </w:r>
      <w:r w:rsidRPr="00D3217C">
        <w:rPr>
          <w:rFonts w:ascii="Arial" w:hAnsi="Arial" w:cs="Arial"/>
        </w:rPr>
        <w:t xml:space="preserve"> odhadem rozdělit na jednotlivé oblasti provozu (Open Access, objednávka státu, objednávka kr</w:t>
      </w:r>
      <w:r w:rsidR="00DA2246" w:rsidRPr="00D3217C">
        <w:rPr>
          <w:rFonts w:ascii="Arial" w:hAnsi="Arial" w:cs="Arial"/>
        </w:rPr>
        <w:t>ajů). V následující tabulce č. 12</w:t>
      </w:r>
      <w:r w:rsidRPr="00D3217C">
        <w:rPr>
          <w:rFonts w:ascii="Arial" w:hAnsi="Arial" w:cs="Arial"/>
        </w:rPr>
        <w:t xml:space="preserve"> je viditelné, že v oblasti železniční Open Access bude zkrácena platba cca o </w:t>
      </w:r>
      <w:r w:rsidR="002B6AA9" w:rsidRPr="00D3217C">
        <w:rPr>
          <w:rFonts w:ascii="Arial" w:hAnsi="Arial" w:cs="Arial"/>
        </w:rPr>
        <w:t>2</w:t>
      </w:r>
      <w:r w:rsidR="00DA2246" w:rsidRPr="00D3217C">
        <w:rPr>
          <w:rFonts w:ascii="Arial" w:hAnsi="Arial" w:cs="Arial"/>
        </w:rPr>
        <w:t>40</w:t>
      </w:r>
      <w:r w:rsidRPr="00D3217C">
        <w:rPr>
          <w:rFonts w:ascii="Arial" w:hAnsi="Arial" w:cs="Arial"/>
        </w:rPr>
        <w:t xml:space="preserve"> – </w:t>
      </w:r>
      <w:r w:rsidR="00DA2246" w:rsidRPr="00D3217C">
        <w:rPr>
          <w:rFonts w:ascii="Arial" w:hAnsi="Arial" w:cs="Arial"/>
        </w:rPr>
        <w:t>370</w:t>
      </w:r>
      <w:r w:rsidRPr="00D3217C">
        <w:rPr>
          <w:rFonts w:ascii="Arial" w:hAnsi="Arial" w:cs="Arial"/>
        </w:rPr>
        <w:t xml:space="preserve"> mil. Kč, kraje „přijdou“ o příspěvek v souhrnné výši cca </w:t>
      </w:r>
      <w:r w:rsidR="00DA2246" w:rsidRPr="00D3217C">
        <w:rPr>
          <w:rFonts w:ascii="Arial" w:hAnsi="Arial" w:cs="Arial"/>
        </w:rPr>
        <w:t>1 390</w:t>
      </w:r>
      <w:r w:rsidRPr="00D3217C">
        <w:rPr>
          <w:rFonts w:ascii="Arial" w:hAnsi="Arial" w:cs="Arial"/>
        </w:rPr>
        <w:t xml:space="preserve"> – </w:t>
      </w:r>
      <w:r w:rsidR="00DA2246" w:rsidRPr="00D3217C">
        <w:rPr>
          <w:rFonts w:ascii="Arial" w:hAnsi="Arial" w:cs="Arial"/>
        </w:rPr>
        <w:t>2 220</w:t>
      </w:r>
      <w:r w:rsidRPr="00D3217C">
        <w:rPr>
          <w:rFonts w:ascii="Arial" w:hAnsi="Arial" w:cs="Arial"/>
        </w:rPr>
        <w:t xml:space="preserve"> mil. Kč. Samozřejmě tuto částku lze označit pouze jako výpadek financování, nikoliv jako dopad na dopravce či kraje, neboť slevy zároveň nebudou požadovány a uplatňovány a cestující tedy budou platit vyšší jízdné než snížené hodnoty v době státních slev ve velmi vysoké výši 75 %.</w:t>
      </w:r>
    </w:p>
    <w:p w:rsidR="00F06670" w:rsidRPr="00D3217C" w:rsidRDefault="00F06670"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Tab. 12: Odhadované dopady na jednotlivé oblasti podnikání pro variantu II doporučenou v tab. 10</w:t>
      </w:r>
    </w:p>
    <w:tbl>
      <w:tblPr>
        <w:tblStyle w:val="Mkatabulky"/>
        <w:tblW w:w="0" w:type="auto"/>
        <w:tblInd w:w="562" w:type="dxa"/>
        <w:tblLayout w:type="fixed"/>
        <w:tblLook w:val="04A0" w:firstRow="1" w:lastRow="0" w:firstColumn="1" w:lastColumn="0" w:noHBand="0" w:noVBand="1"/>
      </w:tblPr>
      <w:tblGrid>
        <w:gridCol w:w="4395"/>
        <w:gridCol w:w="1026"/>
        <w:gridCol w:w="1026"/>
        <w:gridCol w:w="1026"/>
        <w:gridCol w:w="1027"/>
      </w:tblGrid>
      <w:tr w:rsidR="0024289E" w:rsidRPr="00D3217C" w:rsidTr="00D3217C">
        <w:trPr>
          <w:trHeight w:val="690"/>
        </w:trPr>
        <w:tc>
          <w:tcPr>
            <w:tcW w:w="4395" w:type="dxa"/>
            <w:shd w:val="clear" w:color="auto" w:fill="FFF2CC" w:themeFill="accent4" w:themeFillTint="33"/>
            <w:vAlign w:val="center"/>
            <w:hideMark/>
          </w:tcPr>
          <w:p w:rsidR="00F06670" w:rsidRPr="00D3217C" w:rsidRDefault="00F06670" w:rsidP="001C33E4">
            <w:pPr>
              <w:rPr>
                <w:rFonts w:ascii="Arial" w:hAnsi="Arial" w:cs="Arial"/>
                <w:b/>
                <w:sz w:val="18"/>
                <w:szCs w:val="18"/>
              </w:rPr>
            </w:pPr>
            <w:r w:rsidRPr="00D3217C">
              <w:rPr>
                <w:rFonts w:ascii="Arial" w:hAnsi="Arial" w:cs="Arial"/>
                <w:b/>
                <w:sz w:val="18"/>
                <w:szCs w:val="18"/>
              </w:rPr>
              <w:t xml:space="preserve">Odhadovaná bilance podle jednotlivých objednatelů </w:t>
            </w:r>
            <w:r w:rsidRPr="00D3217C">
              <w:rPr>
                <w:rFonts w:ascii="Arial" w:hAnsi="Arial" w:cs="Arial"/>
                <w:i/>
                <w:sz w:val="18"/>
                <w:szCs w:val="18"/>
              </w:rPr>
              <w:t>(mil. Kč)</w:t>
            </w:r>
          </w:p>
        </w:tc>
        <w:tc>
          <w:tcPr>
            <w:tcW w:w="2052" w:type="dxa"/>
            <w:gridSpan w:val="2"/>
            <w:shd w:val="clear" w:color="auto" w:fill="FFF2CC" w:themeFill="accent4" w:themeFillTint="33"/>
            <w:vAlign w:val="center"/>
            <w:hideMark/>
          </w:tcPr>
          <w:p w:rsidR="00F06670" w:rsidRPr="00D3217C" w:rsidRDefault="00F06670" w:rsidP="001C33E4">
            <w:pPr>
              <w:jc w:val="center"/>
              <w:rPr>
                <w:rFonts w:ascii="Arial" w:hAnsi="Arial" w:cs="Arial"/>
                <w:b/>
                <w:sz w:val="18"/>
                <w:szCs w:val="18"/>
              </w:rPr>
            </w:pPr>
            <w:r w:rsidRPr="00D3217C">
              <w:rPr>
                <w:rFonts w:ascii="Arial" w:hAnsi="Arial" w:cs="Arial"/>
                <w:b/>
                <w:sz w:val="18"/>
                <w:szCs w:val="18"/>
              </w:rPr>
              <w:t>Model A (přepravně optimistický)</w:t>
            </w:r>
          </w:p>
        </w:tc>
        <w:tc>
          <w:tcPr>
            <w:tcW w:w="2053" w:type="dxa"/>
            <w:gridSpan w:val="2"/>
            <w:shd w:val="clear" w:color="auto" w:fill="FFF2CC" w:themeFill="accent4" w:themeFillTint="33"/>
            <w:vAlign w:val="center"/>
            <w:hideMark/>
          </w:tcPr>
          <w:p w:rsidR="00F06670" w:rsidRPr="00D3217C" w:rsidRDefault="00F06670" w:rsidP="001C33E4">
            <w:pPr>
              <w:jc w:val="center"/>
              <w:rPr>
                <w:rFonts w:ascii="Arial" w:hAnsi="Arial" w:cs="Arial"/>
                <w:b/>
                <w:sz w:val="18"/>
                <w:szCs w:val="18"/>
              </w:rPr>
            </w:pPr>
            <w:r w:rsidRPr="00D3217C">
              <w:rPr>
                <w:rFonts w:ascii="Arial" w:hAnsi="Arial" w:cs="Arial"/>
                <w:b/>
                <w:sz w:val="18"/>
                <w:szCs w:val="18"/>
              </w:rPr>
              <w:t>Model B (přepravně pesimistický)</w:t>
            </w:r>
          </w:p>
        </w:tc>
      </w:tr>
      <w:tr w:rsidR="0024289E" w:rsidRPr="00D3217C" w:rsidTr="00D3217C">
        <w:trPr>
          <w:trHeight w:val="690"/>
        </w:trPr>
        <w:tc>
          <w:tcPr>
            <w:tcW w:w="4395" w:type="dxa"/>
            <w:shd w:val="clear" w:color="auto" w:fill="FFF2CC" w:themeFill="accent4" w:themeFillTint="33"/>
            <w:vAlign w:val="center"/>
            <w:hideMark/>
          </w:tcPr>
          <w:p w:rsidR="00F06670" w:rsidRPr="00D3217C" w:rsidRDefault="00F06670" w:rsidP="001C33E4">
            <w:pPr>
              <w:rPr>
                <w:rFonts w:ascii="Arial" w:hAnsi="Arial" w:cs="Arial"/>
                <w:sz w:val="18"/>
                <w:szCs w:val="18"/>
              </w:rPr>
            </w:pPr>
            <w:r w:rsidRPr="00D3217C">
              <w:rPr>
                <w:rFonts w:ascii="Arial" w:hAnsi="Arial" w:cs="Arial"/>
                <w:sz w:val="18"/>
                <w:szCs w:val="18"/>
              </w:rPr>
              <w:t>Model podle tabulky 7</w:t>
            </w:r>
          </w:p>
        </w:tc>
        <w:tc>
          <w:tcPr>
            <w:tcW w:w="1026" w:type="dxa"/>
            <w:shd w:val="clear" w:color="auto" w:fill="FFF2CC" w:themeFill="accent4" w:themeFillTint="33"/>
            <w:vAlign w:val="center"/>
            <w:hideMark/>
          </w:tcPr>
          <w:p w:rsidR="00F06670" w:rsidRPr="00D3217C" w:rsidRDefault="00F06670" w:rsidP="001C33E4">
            <w:pPr>
              <w:jc w:val="center"/>
              <w:rPr>
                <w:rFonts w:ascii="Arial" w:hAnsi="Arial" w:cs="Arial"/>
                <w:sz w:val="18"/>
                <w:szCs w:val="18"/>
              </w:rPr>
            </w:pPr>
            <w:r w:rsidRPr="00D3217C">
              <w:rPr>
                <w:rFonts w:ascii="Arial" w:hAnsi="Arial" w:cs="Arial"/>
                <w:sz w:val="18"/>
                <w:szCs w:val="18"/>
              </w:rPr>
              <w:t>výdaj</w:t>
            </w:r>
          </w:p>
        </w:tc>
        <w:tc>
          <w:tcPr>
            <w:tcW w:w="1026" w:type="dxa"/>
            <w:shd w:val="clear" w:color="auto" w:fill="FFF2CC" w:themeFill="accent4" w:themeFillTint="33"/>
            <w:vAlign w:val="center"/>
            <w:hideMark/>
          </w:tcPr>
          <w:p w:rsidR="00F06670" w:rsidRPr="00D3217C" w:rsidRDefault="00F06670" w:rsidP="001C33E4">
            <w:pPr>
              <w:jc w:val="center"/>
              <w:rPr>
                <w:rFonts w:ascii="Arial" w:hAnsi="Arial" w:cs="Arial"/>
                <w:sz w:val="18"/>
                <w:szCs w:val="18"/>
              </w:rPr>
            </w:pPr>
            <w:r w:rsidRPr="00D3217C">
              <w:rPr>
                <w:rFonts w:ascii="Arial" w:hAnsi="Arial" w:cs="Arial"/>
                <w:sz w:val="18"/>
                <w:szCs w:val="18"/>
              </w:rPr>
              <w:t>úspora</w:t>
            </w:r>
          </w:p>
        </w:tc>
        <w:tc>
          <w:tcPr>
            <w:tcW w:w="1026" w:type="dxa"/>
            <w:shd w:val="clear" w:color="auto" w:fill="FFF2CC" w:themeFill="accent4" w:themeFillTint="33"/>
            <w:vAlign w:val="center"/>
            <w:hideMark/>
          </w:tcPr>
          <w:p w:rsidR="00F06670" w:rsidRPr="00D3217C" w:rsidRDefault="00F06670" w:rsidP="001C33E4">
            <w:pPr>
              <w:jc w:val="center"/>
              <w:rPr>
                <w:rFonts w:ascii="Arial" w:hAnsi="Arial" w:cs="Arial"/>
                <w:sz w:val="18"/>
                <w:szCs w:val="18"/>
              </w:rPr>
            </w:pPr>
            <w:r w:rsidRPr="00D3217C">
              <w:rPr>
                <w:rFonts w:ascii="Arial" w:hAnsi="Arial" w:cs="Arial"/>
                <w:sz w:val="18"/>
                <w:szCs w:val="18"/>
              </w:rPr>
              <w:t>výdaj</w:t>
            </w:r>
          </w:p>
        </w:tc>
        <w:tc>
          <w:tcPr>
            <w:tcW w:w="1027" w:type="dxa"/>
            <w:shd w:val="clear" w:color="auto" w:fill="FFF2CC" w:themeFill="accent4" w:themeFillTint="33"/>
            <w:vAlign w:val="center"/>
            <w:hideMark/>
          </w:tcPr>
          <w:p w:rsidR="00F06670" w:rsidRPr="00D3217C" w:rsidRDefault="00F06670" w:rsidP="001C33E4">
            <w:pPr>
              <w:jc w:val="center"/>
              <w:rPr>
                <w:rFonts w:ascii="Arial" w:hAnsi="Arial" w:cs="Arial"/>
                <w:sz w:val="18"/>
                <w:szCs w:val="18"/>
              </w:rPr>
            </w:pPr>
            <w:r w:rsidRPr="00D3217C">
              <w:rPr>
                <w:rFonts w:ascii="Arial" w:hAnsi="Arial" w:cs="Arial"/>
                <w:sz w:val="18"/>
                <w:szCs w:val="18"/>
              </w:rPr>
              <w:t>úspora</w:t>
            </w:r>
          </w:p>
        </w:tc>
      </w:tr>
      <w:tr w:rsidR="0024289E" w:rsidRPr="00D3217C" w:rsidTr="00D3217C">
        <w:trPr>
          <w:trHeight w:val="300"/>
        </w:trPr>
        <w:tc>
          <w:tcPr>
            <w:tcW w:w="4395" w:type="dxa"/>
            <w:noWrap/>
            <w:vAlign w:val="center"/>
            <w:hideMark/>
          </w:tcPr>
          <w:p w:rsidR="00F06670" w:rsidRPr="00D3217C" w:rsidRDefault="00F06670" w:rsidP="001C33E4">
            <w:pPr>
              <w:rPr>
                <w:rFonts w:ascii="Arial" w:hAnsi="Arial" w:cs="Arial"/>
                <w:b/>
                <w:sz w:val="18"/>
                <w:szCs w:val="18"/>
              </w:rPr>
            </w:pPr>
            <w:r w:rsidRPr="00D3217C">
              <w:rPr>
                <w:rFonts w:ascii="Arial" w:hAnsi="Arial" w:cs="Arial"/>
                <w:b/>
                <w:sz w:val="18"/>
                <w:szCs w:val="18"/>
              </w:rPr>
              <w:t>Železniční doprava - úhrada v roce 2019</w:t>
            </w:r>
          </w:p>
        </w:tc>
        <w:tc>
          <w:tcPr>
            <w:tcW w:w="1026" w:type="dxa"/>
            <w:noWrap/>
            <w:vAlign w:val="center"/>
          </w:tcPr>
          <w:p w:rsidR="00F06670" w:rsidRPr="00D3217C" w:rsidRDefault="00F06670" w:rsidP="001C33E4">
            <w:pPr>
              <w:jc w:val="center"/>
              <w:rPr>
                <w:rFonts w:ascii="Arial" w:hAnsi="Arial" w:cs="Arial"/>
                <w:b/>
                <w:sz w:val="18"/>
                <w:szCs w:val="18"/>
              </w:rPr>
            </w:pPr>
            <w:r w:rsidRPr="00D3217C">
              <w:rPr>
                <w:rFonts w:ascii="Arial" w:hAnsi="Arial" w:cs="Arial"/>
                <w:b/>
                <w:bCs/>
                <w:sz w:val="18"/>
                <w:szCs w:val="18"/>
              </w:rPr>
              <w:t>3 147,1</w:t>
            </w:r>
          </w:p>
        </w:tc>
        <w:tc>
          <w:tcPr>
            <w:tcW w:w="1026" w:type="dxa"/>
            <w:noWrap/>
            <w:vAlign w:val="center"/>
          </w:tcPr>
          <w:p w:rsidR="00F06670" w:rsidRPr="00D3217C" w:rsidRDefault="00F06670" w:rsidP="001C33E4">
            <w:pPr>
              <w:jc w:val="center"/>
              <w:rPr>
                <w:rFonts w:ascii="Arial" w:hAnsi="Arial" w:cs="Arial"/>
                <w:b/>
                <w:sz w:val="18"/>
                <w:szCs w:val="18"/>
              </w:rPr>
            </w:pPr>
          </w:p>
        </w:tc>
        <w:tc>
          <w:tcPr>
            <w:tcW w:w="1026" w:type="dxa"/>
            <w:noWrap/>
            <w:vAlign w:val="center"/>
          </w:tcPr>
          <w:p w:rsidR="00F06670" w:rsidRPr="00D3217C" w:rsidRDefault="00F06670" w:rsidP="001C33E4">
            <w:pPr>
              <w:jc w:val="center"/>
              <w:rPr>
                <w:rFonts w:ascii="Arial" w:hAnsi="Arial" w:cs="Arial"/>
                <w:b/>
                <w:sz w:val="18"/>
                <w:szCs w:val="18"/>
              </w:rPr>
            </w:pPr>
            <w:r w:rsidRPr="00D3217C">
              <w:rPr>
                <w:rFonts w:ascii="Arial" w:hAnsi="Arial" w:cs="Arial"/>
                <w:b/>
                <w:bCs/>
                <w:sz w:val="18"/>
                <w:szCs w:val="18"/>
              </w:rPr>
              <w:t>1 953,3</w:t>
            </w:r>
          </w:p>
        </w:tc>
        <w:tc>
          <w:tcPr>
            <w:tcW w:w="1027" w:type="dxa"/>
            <w:noWrap/>
            <w:vAlign w:val="center"/>
          </w:tcPr>
          <w:p w:rsidR="00F06670" w:rsidRPr="00D3217C" w:rsidRDefault="00F06670" w:rsidP="001C33E4">
            <w:pPr>
              <w:jc w:val="center"/>
              <w:rPr>
                <w:rFonts w:ascii="Arial" w:hAnsi="Arial" w:cs="Arial"/>
                <w:sz w:val="18"/>
                <w:szCs w:val="18"/>
              </w:rPr>
            </w:pPr>
          </w:p>
        </w:tc>
      </w:tr>
      <w:tr w:rsidR="0024289E" w:rsidRPr="00D3217C" w:rsidTr="00D3217C">
        <w:trPr>
          <w:trHeight w:val="300"/>
        </w:trPr>
        <w:tc>
          <w:tcPr>
            <w:tcW w:w="4395" w:type="dxa"/>
            <w:noWrap/>
            <w:vAlign w:val="center"/>
            <w:hideMark/>
          </w:tcPr>
          <w:p w:rsidR="00F06670" w:rsidRPr="00D3217C" w:rsidRDefault="00F06670" w:rsidP="001C33E4">
            <w:pPr>
              <w:rPr>
                <w:rFonts w:ascii="Arial" w:hAnsi="Arial" w:cs="Arial"/>
                <w:b/>
                <w:sz w:val="18"/>
                <w:szCs w:val="18"/>
              </w:rPr>
            </w:pPr>
            <w:r w:rsidRPr="00D3217C">
              <w:rPr>
                <w:rFonts w:ascii="Arial" w:hAnsi="Arial" w:cs="Arial"/>
                <w:b/>
                <w:sz w:val="18"/>
                <w:szCs w:val="18"/>
              </w:rPr>
              <w:t xml:space="preserve">Přepočet na jednotlivé výhledové modely </w:t>
            </w:r>
          </w:p>
        </w:tc>
        <w:tc>
          <w:tcPr>
            <w:tcW w:w="1026" w:type="dxa"/>
            <w:noWrap/>
            <w:vAlign w:val="center"/>
          </w:tcPr>
          <w:p w:rsidR="00F06670" w:rsidRPr="00D3217C" w:rsidRDefault="00F06670" w:rsidP="001C33E4">
            <w:pPr>
              <w:jc w:val="center"/>
              <w:rPr>
                <w:rFonts w:ascii="Arial" w:hAnsi="Arial" w:cs="Arial"/>
                <w:b/>
                <w:bCs/>
                <w:sz w:val="18"/>
                <w:szCs w:val="18"/>
              </w:rPr>
            </w:pPr>
            <w:r w:rsidRPr="00D3217C">
              <w:rPr>
                <w:rFonts w:ascii="Arial" w:hAnsi="Arial" w:cs="Arial"/>
                <w:b/>
                <w:bCs/>
                <w:sz w:val="18"/>
                <w:szCs w:val="18"/>
              </w:rPr>
              <w:t>1 335,3</w:t>
            </w:r>
          </w:p>
        </w:tc>
        <w:tc>
          <w:tcPr>
            <w:tcW w:w="1026" w:type="dxa"/>
            <w:noWrap/>
            <w:vAlign w:val="center"/>
          </w:tcPr>
          <w:p w:rsidR="00F06670" w:rsidRPr="00D3217C" w:rsidRDefault="00F06670" w:rsidP="001C33E4">
            <w:pPr>
              <w:jc w:val="center"/>
              <w:rPr>
                <w:rFonts w:ascii="Arial" w:hAnsi="Arial" w:cs="Arial"/>
                <w:b/>
                <w:bCs/>
                <w:sz w:val="18"/>
                <w:szCs w:val="18"/>
              </w:rPr>
            </w:pPr>
            <w:r w:rsidRPr="00D3217C">
              <w:rPr>
                <w:rFonts w:ascii="Arial" w:hAnsi="Arial" w:cs="Arial"/>
                <w:b/>
                <w:bCs/>
                <w:sz w:val="18"/>
                <w:szCs w:val="18"/>
              </w:rPr>
              <w:t>1 811,8</w:t>
            </w:r>
          </w:p>
        </w:tc>
        <w:tc>
          <w:tcPr>
            <w:tcW w:w="1026" w:type="dxa"/>
            <w:noWrap/>
            <w:vAlign w:val="center"/>
          </w:tcPr>
          <w:p w:rsidR="00F06670" w:rsidRPr="00D3217C" w:rsidRDefault="00F06670" w:rsidP="001C33E4">
            <w:pPr>
              <w:jc w:val="center"/>
              <w:rPr>
                <w:rFonts w:ascii="Arial" w:hAnsi="Arial" w:cs="Arial"/>
                <w:b/>
                <w:bCs/>
                <w:sz w:val="18"/>
                <w:szCs w:val="18"/>
              </w:rPr>
            </w:pPr>
            <w:r w:rsidRPr="00D3217C">
              <w:rPr>
                <w:rFonts w:ascii="Arial" w:hAnsi="Arial" w:cs="Arial"/>
                <w:b/>
                <w:bCs/>
                <w:sz w:val="18"/>
                <w:szCs w:val="18"/>
              </w:rPr>
              <w:t>821,7</w:t>
            </w:r>
          </w:p>
        </w:tc>
        <w:tc>
          <w:tcPr>
            <w:tcW w:w="1027" w:type="dxa"/>
            <w:noWrap/>
            <w:vAlign w:val="center"/>
          </w:tcPr>
          <w:p w:rsidR="00F06670" w:rsidRPr="00D3217C" w:rsidRDefault="00F06670" w:rsidP="001C33E4">
            <w:pPr>
              <w:jc w:val="center"/>
              <w:rPr>
                <w:rFonts w:ascii="Arial" w:hAnsi="Arial" w:cs="Arial"/>
                <w:sz w:val="18"/>
                <w:szCs w:val="18"/>
              </w:rPr>
            </w:pPr>
            <w:r w:rsidRPr="00D3217C">
              <w:rPr>
                <w:rFonts w:ascii="Arial" w:hAnsi="Arial" w:cs="Arial"/>
                <w:b/>
                <w:bCs/>
                <w:sz w:val="18"/>
                <w:szCs w:val="18"/>
              </w:rPr>
              <w:t>1 131,5</w:t>
            </w:r>
          </w:p>
        </w:tc>
      </w:tr>
      <w:tr w:rsidR="0024289E" w:rsidRPr="00D3217C" w:rsidTr="00D3217C">
        <w:trPr>
          <w:trHeight w:val="300"/>
        </w:trPr>
        <w:tc>
          <w:tcPr>
            <w:tcW w:w="4395" w:type="dxa"/>
            <w:shd w:val="clear" w:color="auto" w:fill="DEEAF6" w:themeFill="accent1" w:themeFillTint="33"/>
            <w:noWrap/>
            <w:vAlign w:val="center"/>
            <w:hideMark/>
          </w:tcPr>
          <w:p w:rsidR="00F06670" w:rsidRPr="00D3217C" w:rsidRDefault="00F06670" w:rsidP="001C33E4">
            <w:pPr>
              <w:rPr>
                <w:rFonts w:ascii="Arial" w:hAnsi="Arial" w:cs="Arial"/>
                <w:sz w:val="18"/>
                <w:szCs w:val="18"/>
              </w:rPr>
            </w:pPr>
            <w:r w:rsidRPr="00D3217C">
              <w:rPr>
                <w:rFonts w:ascii="Arial" w:hAnsi="Arial" w:cs="Arial"/>
                <w:sz w:val="18"/>
                <w:szCs w:val="18"/>
              </w:rPr>
              <w:t>Open Access</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272,0</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369,0</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172,9</w:t>
            </w:r>
          </w:p>
        </w:tc>
        <w:tc>
          <w:tcPr>
            <w:tcW w:w="1027"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238,0</w:t>
            </w:r>
          </w:p>
        </w:tc>
      </w:tr>
      <w:tr w:rsidR="0024289E" w:rsidRPr="00D3217C" w:rsidTr="00D3217C">
        <w:trPr>
          <w:trHeight w:val="300"/>
        </w:trPr>
        <w:tc>
          <w:tcPr>
            <w:tcW w:w="4395" w:type="dxa"/>
            <w:shd w:val="clear" w:color="auto" w:fill="DEEAF6" w:themeFill="accent1" w:themeFillTint="33"/>
            <w:noWrap/>
            <w:vAlign w:val="center"/>
            <w:hideMark/>
          </w:tcPr>
          <w:p w:rsidR="00F06670" w:rsidRPr="00D3217C" w:rsidRDefault="00F06670" w:rsidP="001C33E4">
            <w:pPr>
              <w:rPr>
                <w:rFonts w:ascii="Arial" w:hAnsi="Arial" w:cs="Arial"/>
                <w:sz w:val="18"/>
                <w:szCs w:val="18"/>
              </w:rPr>
            </w:pPr>
            <w:r w:rsidRPr="00D3217C">
              <w:rPr>
                <w:rFonts w:ascii="Arial" w:hAnsi="Arial" w:cs="Arial"/>
                <w:sz w:val="18"/>
                <w:szCs w:val="18"/>
              </w:rPr>
              <w:t>Objednávka státu</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318,8</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432,5</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179,4</w:t>
            </w:r>
          </w:p>
        </w:tc>
        <w:tc>
          <w:tcPr>
            <w:tcW w:w="1027"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247,1</w:t>
            </w:r>
          </w:p>
        </w:tc>
      </w:tr>
      <w:tr w:rsidR="0024289E" w:rsidRPr="00D3217C" w:rsidTr="00D3217C">
        <w:trPr>
          <w:trHeight w:val="300"/>
        </w:trPr>
        <w:tc>
          <w:tcPr>
            <w:tcW w:w="4395" w:type="dxa"/>
            <w:shd w:val="clear" w:color="auto" w:fill="DEEAF6" w:themeFill="accent1" w:themeFillTint="33"/>
            <w:noWrap/>
            <w:vAlign w:val="center"/>
            <w:hideMark/>
          </w:tcPr>
          <w:p w:rsidR="00F06670" w:rsidRPr="00D3217C" w:rsidRDefault="00F06670" w:rsidP="001C33E4">
            <w:pPr>
              <w:rPr>
                <w:rFonts w:ascii="Arial" w:hAnsi="Arial" w:cs="Arial"/>
                <w:sz w:val="18"/>
                <w:szCs w:val="18"/>
              </w:rPr>
            </w:pPr>
            <w:r w:rsidRPr="00D3217C">
              <w:rPr>
                <w:rFonts w:ascii="Arial" w:hAnsi="Arial" w:cs="Arial"/>
                <w:sz w:val="18"/>
                <w:szCs w:val="18"/>
              </w:rPr>
              <w:t>Objednávka krajů</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744,6</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1 010,2</w:t>
            </w:r>
          </w:p>
        </w:tc>
        <w:tc>
          <w:tcPr>
            <w:tcW w:w="1026"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469,4</w:t>
            </w:r>
          </w:p>
        </w:tc>
        <w:tc>
          <w:tcPr>
            <w:tcW w:w="1027" w:type="dxa"/>
            <w:shd w:val="clear" w:color="auto" w:fill="DEEAF6" w:themeFill="accent1" w:themeFillTint="33"/>
            <w:noWrap/>
            <w:vAlign w:val="center"/>
          </w:tcPr>
          <w:p w:rsidR="00F06670" w:rsidRPr="00D3217C" w:rsidRDefault="00F06670" w:rsidP="001C33E4">
            <w:pPr>
              <w:jc w:val="center"/>
              <w:rPr>
                <w:rFonts w:ascii="Arial" w:hAnsi="Arial" w:cs="Arial"/>
                <w:sz w:val="18"/>
                <w:szCs w:val="18"/>
              </w:rPr>
            </w:pPr>
            <w:r w:rsidRPr="00D3217C">
              <w:rPr>
                <w:rFonts w:ascii="Arial" w:hAnsi="Arial" w:cs="Arial"/>
                <w:sz w:val="18"/>
                <w:szCs w:val="18"/>
              </w:rPr>
              <w:t>646,4</w:t>
            </w:r>
          </w:p>
        </w:tc>
      </w:tr>
      <w:tr w:rsidR="0024289E" w:rsidRPr="00D3217C" w:rsidTr="00D3217C">
        <w:trPr>
          <w:trHeight w:val="300"/>
        </w:trPr>
        <w:tc>
          <w:tcPr>
            <w:tcW w:w="4395" w:type="dxa"/>
            <w:noWrap/>
            <w:vAlign w:val="center"/>
            <w:hideMark/>
          </w:tcPr>
          <w:p w:rsidR="00F06670" w:rsidRPr="00D3217C" w:rsidRDefault="00F06670" w:rsidP="001C33E4">
            <w:pPr>
              <w:rPr>
                <w:rFonts w:ascii="Arial" w:hAnsi="Arial" w:cs="Arial"/>
                <w:b/>
                <w:sz w:val="18"/>
                <w:szCs w:val="18"/>
              </w:rPr>
            </w:pPr>
            <w:r w:rsidRPr="00D3217C">
              <w:rPr>
                <w:rFonts w:ascii="Arial" w:hAnsi="Arial" w:cs="Arial"/>
                <w:b/>
                <w:sz w:val="18"/>
                <w:szCs w:val="18"/>
              </w:rPr>
              <w:t>Silniční doprava - úhrada v roce 2019</w:t>
            </w:r>
          </w:p>
        </w:tc>
        <w:tc>
          <w:tcPr>
            <w:tcW w:w="1026" w:type="dxa"/>
            <w:noWrap/>
            <w:vAlign w:val="bottom"/>
          </w:tcPr>
          <w:p w:rsidR="00F06670" w:rsidRPr="00D3217C" w:rsidRDefault="00F06670" w:rsidP="001C33E4">
            <w:pPr>
              <w:jc w:val="center"/>
              <w:rPr>
                <w:rFonts w:ascii="Arial" w:hAnsi="Arial" w:cs="Arial"/>
                <w:b/>
                <w:sz w:val="18"/>
                <w:szCs w:val="18"/>
              </w:rPr>
            </w:pPr>
            <w:r w:rsidRPr="00D3217C">
              <w:rPr>
                <w:rFonts w:ascii="Arial" w:hAnsi="Arial" w:cs="Arial"/>
                <w:b/>
                <w:bCs/>
                <w:sz w:val="18"/>
                <w:szCs w:val="18"/>
              </w:rPr>
              <w:t>2 642,8</w:t>
            </w:r>
          </w:p>
        </w:tc>
        <w:tc>
          <w:tcPr>
            <w:tcW w:w="1026" w:type="dxa"/>
            <w:noWrap/>
            <w:vAlign w:val="bottom"/>
          </w:tcPr>
          <w:p w:rsidR="00F06670" w:rsidRPr="00D3217C" w:rsidRDefault="00F06670" w:rsidP="001C33E4">
            <w:pPr>
              <w:jc w:val="center"/>
              <w:rPr>
                <w:rFonts w:ascii="Arial" w:hAnsi="Arial" w:cs="Arial"/>
                <w:b/>
                <w:sz w:val="18"/>
                <w:szCs w:val="18"/>
              </w:rPr>
            </w:pPr>
            <w:r w:rsidRPr="00D3217C">
              <w:rPr>
                <w:rFonts w:ascii="Arial" w:hAnsi="Arial" w:cs="Arial"/>
                <w:b/>
                <w:bCs/>
                <w:sz w:val="18"/>
                <w:szCs w:val="18"/>
              </w:rPr>
              <w:t> </w:t>
            </w:r>
          </w:p>
        </w:tc>
        <w:tc>
          <w:tcPr>
            <w:tcW w:w="1026" w:type="dxa"/>
            <w:noWrap/>
            <w:vAlign w:val="bottom"/>
          </w:tcPr>
          <w:p w:rsidR="00F06670" w:rsidRPr="00D3217C" w:rsidRDefault="00F06670" w:rsidP="001C33E4">
            <w:pPr>
              <w:jc w:val="center"/>
              <w:rPr>
                <w:rFonts w:ascii="Arial" w:hAnsi="Arial" w:cs="Arial"/>
                <w:b/>
                <w:sz w:val="18"/>
                <w:szCs w:val="18"/>
              </w:rPr>
            </w:pPr>
            <w:r w:rsidRPr="00D3217C">
              <w:rPr>
                <w:rFonts w:ascii="Arial" w:hAnsi="Arial" w:cs="Arial"/>
                <w:b/>
                <w:bCs/>
                <w:sz w:val="18"/>
                <w:szCs w:val="18"/>
              </w:rPr>
              <w:t>1 523,6</w:t>
            </w:r>
          </w:p>
        </w:tc>
        <w:tc>
          <w:tcPr>
            <w:tcW w:w="1027" w:type="dxa"/>
            <w:noWrap/>
            <w:vAlign w:val="bottom"/>
          </w:tcPr>
          <w:p w:rsidR="00F06670" w:rsidRPr="00D3217C" w:rsidRDefault="00F06670" w:rsidP="001C33E4">
            <w:pPr>
              <w:jc w:val="center"/>
              <w:rPr>
                <w:rFonts w:ascii="Arial" w:hAnsi="Arial" w:cs="Arial"/>
                <w:sz w:val="18"/>
                <w:szCs w:val="18"/>
              </w:rPr>
            </w:pPr>
            <w:r w:rsidRPr="00D3217C">
              <w:rPr>
                <w:rFonts w:ascii="Arial" w:hAnsi="Arial" w:cs="Arial"/>
                <w:b/>
                <w:bCs/>
                <w:sz w:val="18"/>
                <w:szCs w:val="18"/>
              </w:rPr>
              <w:t> </w:t>
            </w:r>
          </w:p>
        </w:tc>
      </w:tr>
      <w:tr w:rsidR="0024289E" w:rsidRPr="00D3217C" w:rsidTr="00D3217C">
        <w:trPr>
          <w:trHeight w:val="300"/>
        </w:trPr>
        <w:tc>
          <w:tcPr>
            <w:tcW w:w="4395" w:type="dxa"/>
            <w:noWrap/>
            <w:vAlign w:val="center"/>
            <w:hideMark/>
          </w:tcPr>
          <w:p w:rsidR="00F06670" w:rsidRPr="00D3217C" w:rsidRDefault="00F06670" w:rsidP="001C33E4">
            <w:pPr>
              <w:rPr>
                <w:rFonts w:ascii="Arial" w:hAnsi="Arial" w:cs="Arial"/>
                <w:b/>
                <w:sz w:val="18"/>
                <w:szCs w:val="18"/>
              </w:rPr>
            </w:pPr>
            <w:r w:rsidRPr="00D3217C">
              <w:rPr>
                <w:rFonts w:ascii="Arial" w:hAnsi="Arial" w:cs="Arial"/>
                <w:b/>
                <w:sz w:val="18"/>
                <w:szCs w:val="18"/>
              </w:rPr>
              <w:t xml:space="preserve">Přepočet na jednotlivé výhledové modely </w:t>
            </w:r>
          </w:p>
        </w:tc>
        <w:tc>
          <w:tcPr>
            <w:tcW w:w="1026" w:type="dxa"/>
            <w:noWrap/>
            <w:vAlign w:val="bottom"/>
          </w:tcPr>
          <w:p w:rsidR="00F06670" w:rsidRPr="00D3217C" w:rsidRDefault="00F06670" w:rsidP="001C33E4">
            <w:pPr>
              <w:jc w:val="center"/>
              <w:rPr>
                <w:rFonts w:ascii="Arial" w:hAnsi="Arial" w:cs="Arial"/>
                <w:b/>
                <w:bCs/>
                <w:sz w:val="18"/>
                <w:szCs w:val="18"/>
              </w:rPr>
            </w:pPr>
            <w:r w:rsidRPr="00D3217C">
              <w:rPr>
                <w:rFonts w:ascii="Arial" w:hAnsi="Arial" w:cs="Arial"/>
                <w:b/>
                <w:bCs/>
                <w:sz w:val="18"/>
                <w:szCs w:val="18"/>
              </w:rPr>
              <w:t>1 121,3</w:t>
            </w:r>
          </w:p>
        </w:tc>
        <w:tc>
          <w:tcPr>
            <w:tcW w:w="1026" w:type="dxa"/>
            <w:noWrap/>
            <w:vAlign w:val="bottom"/>
          </w:tcPr>
          <w:p w:rsidR="00F06670" w:rsidRPr="00D3217C" w:rsidRDefault="00F06670" w:rsidP="001C33E4">
            <w:pPr>
              <w:jc w:val="center"/>
              <w:rPr>
                <w:rFonts w:ascii="Arial" w:hAnsi="Arial" w:cs="Arial"/>
                <w:b/>
                <w:bCs/>
                <w:sz w:val="18"/>
                <w:szCs w:val="18"/>
              </w:rPr>
            </w:pPr>
            <w:r w:rsidRPr="00D3217C">
              <w:rPr>
                <w:rFonts w:ascii="Arial" w:hAnsi="Arial" w:cs="Arial"/>
                <w:b/>
                <w:bCs/>
                <w:sz w:val="18"/>
                <w:szCs w:val="18"/>
              </w:rPr>
              <w:t>1 521,4</w:t>
            </w:r>
          </w:p>
        </w:tc>
        <w:tc>
          <w:tcPr>
            <w:tcW w:w="1026" w:type="dxa"/>
            <w:noWrap/>
            <w:vAlign w:val="bottom"/>
          </w:tcPr>
          <w:p w:rsidR="00F06670" w:rsidRPr="00D3217C" w:rsidRDefault="00F06670" w:rsidP="001C33E4">
            <w:pPr>
              <w:jc w:val="center"/>
              <w:rPr>
                <w:rFonts w:ascii="Arial" w:hAnsi="Arial" w:cs="Arial"/>
                <w:b/>
                <w:bCs/>
                <w:sz w:val="18"/>
                <w:szCs w:val="18"/>
              </w:rPr>
            </w:pPr>
            <w:r w:rsidRPr="00D3217C">
              <w:rPr>
                <w:rFonts w:ascii="Arial" w:hAnsi="Arial" w:cs="Arial"/>
                <w:b/>
                <w:bCs/>
                <w:sz w:val="18"/>
                <w:szCs w:val="18"/>
              </w:rPr>
              <w:t>641,0</w:t>
            </w:r>
          </w:p>
        </w:tc>
        <w:tc>
          <w:tcPr>
            <w:tcW w:w="1027" w:type="dxa"/>
            <w:noWrap/>
            <w:vAlign w:val="bottom"/>
          </w:tcPr>
          <w:p w:rsidR="00F06670" w:rsidRPr="00D3217C" w:rsidRDefault="00F06670" w:rsidP="001C33E4">
            <w:pPr>
              <w:jc w:val="center"/>
              <w:rPr>
                <w:rFonts w:ascii="Arial" w:hAnsi="Arial" w:cs="Arial"/>
                <w:sz w:val="18"/>
                <w:szCs w:val="18"/>
              </w:rPr>
            </w:pPr>
            <w:r w:rsidRPr="00D3217C">
              <w:rPr>
                <w:rFonts w:ascii="Arial" w:hAnsi="Arial" w:cs="Arial"/>
                <w:b/>
                <w:bCs/>
                <w:sz w:val="18"/>
                <w:szCs w:val="18"/>
              </w:rPr>
              <w:t>882,6</w:t>
            </w:r>
          </w:p>
        </w:tc>
      </w:tr>
      <w:tr w:rsidR="0024289E" w:rsidRPr="00D3217C" w:rsidTr="00D3217C">
        <w:trPr>
          <w:trHeight w:val="300"/>
        </w:trPr>
        <w:tc>
          <w:tcPr>
            <w:tcW w:w="4395" w:type="dxa"/>
            <w:shd w:val="clear" w:color="auto" w:fill="DEEAF6" w:themeFill="accent1" w:themeFillTint="33"/>
            <w:noWrap/>
            <w:vAlign w:val="center"/>
            <w:hideMark/>
          </w:tcPr>
          <w:p w:rsidR="00F06670" w:rsidRPr="00D3217C" w:rsidRDefault="00F06670" w:rsidP="001C33E4">
            <w:pPr>
              <w:rPr>
                <w:rFonts w:ascii="Arial" w:hAnsi="Arial" w:cs="Arial"/>
                <w:sz w:val="18"/>
                <w:szCs w:val="18"/>
              </w:rPr>
            </w:pPr>
            <w:r w:rsidRPr="00D3217C">
              <w:rPr>
                <w:rFonts w:ascii="Arial" w:hAnsi="Arial" w:cs="Arial"/>
                <w:sz w:val="18"/>
                <w:szCs w:val="18"/>
              </w:rPr>
              <w:t>Open Access</w:t>
            </w:r>
          </w:p>
        </w:tc>
        <w:tc>
          <w:tcPr>
            <w:tcW w:w="1026" w:type="dxa"/>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231,5</w:t>
            </w:r>
          </w:p>
        </w:tc>
        <w:tc>
          <w:tcPr>
            <w:tcW w:w="1026" w:type="dxa"/>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314,0</w:t>
            </w:r>
          </w:p>
        </w:tc>
        <w:tc>
          <w:tcPr>
            <w:tcW w:w="1026" w:type="dxa"/>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103,6</w:t>
            </w:r>
          </w:p>
        </w:tc>
        <w:tc>
          <w:tcPr>
            <w:tcW w:w="1027" w:type="dxa"/>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142,7</w:t>
            </w:r>
          </w:p>
        </w:tc>
      </w:tr>
      <w:tr w:rsidR="0024289E" w:rsidRPr="00D3217C" w:rsidTr="00D3217C">
        <w:trPr>
          <w:trHeight w:val="300"/>
        </w:trPr>
        <w:tc>
          <w:tcPr>
            <w:tcW w:w="4395" w:type="dxa"/>
            <w:tcBorders>
              <w:bottom w:val="single" w:sz="12" w:space="0" w:color="auto"/>
            </w:tcBorders>
            <w:shd w:val="clear" w:color="auto" w:fill="DEEAF6" w:themeFill="accent1" w:themeFillTint="33"/>
            <w:noWrap/>
            <w:vAlign w:val="center"/>
            <w:hideMark/>
          </w:tcPr>
          <w:p w:rsidR="00F06670" w:rsidRPr="00D3217C" w:rsidRDefault="00F06670" w:rsidP="001C33E4">
            <w:pPr>
              <w:rPr>
                <w:rFonts w:ascii="Arial" w:hAnsi="Arial" w:cs="Arial"/>
                <w:sz w:val="18"/>
                <w:szCs w:val="18"/>
              </w:rPr>
            </w:pPr>
            <w:r w:rsidRPr="00D3217C">
              <w:rPr>
                <w:rFonts w:ascii="Arial" w:hAnsi="Arial" w:cs="Arial"/>
                <w:sz w:val="18"/>
                <w:szCs w:val="18"/>
              </w:rPr>
              <w:t>Objednávka krajů</w:t>
            </w:r>
          </w:p>
        </w:tc>
        <w:tc>
          <w:tcPr>
            <w:tcW w:w="1026" w:type="dxa"/>
            <w:tcBorders>
              <w:bottom w:val="single" w:sz="12" w:space="0" w:color="auto"/>
            </w:tcBorders>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889,9</w:t>
            </w:r>
          </w:p>
        </w:tc>
        <w:tc>
          <w:tcPr>
            <w:tcW w:w="1026" w:type="dxa"/>
            <w:tcBorders>
              <w:bottom w:val="single" w:sz="12" w:space="0" w:color="auto"/>
            </w:tcBorders>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1 207,4</w:t>
            </w:r>
          </w:p>
        </w:tc>
        <w:tc>
          <w:tcPr>
            <w:tcW w:w="1026" w:type="dxa"/>
            <w:tcBorders>
              <w:bottom w:val="single" w:sz="12" w:space="0" w:color="auto"/>
            </w:tcBorders>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537,4</w:t>
            </w:r>
          </w:p>
        </w:tc>
        <w:tc>
          <w:tcPr>
            <w:tcW w:w="1027" w:type="dxa"/>
            <w:tcBorders>
              <w:bottom w:val="single" w:sz="12" w:space="0" w:color="auto"/>
            </w:tcBorders>
            <w:shd w:val="clear" w:color="auto" w:fill="DEEAF6" w:themeFill="accent1" w:themeFillTint="33"/>
            <w:noWrap/>
            <w:vAlign w:val="bottom"/>
          </w:tcPr>
          <w:p w:rsidR="00F06670" w:rsidRPr="00D3217C" w:rsidRDefault="00F06670" w:rsidP="001C33E4">
            <w:pPr>
              <w:jc w:val="center"/>
              <w:rPr>
                <w:rFonts w:ascii="Arial" w:hAnsi="Arial" w:cs="Arial"/>
                <w:sz w:val="18"/>
                <w:szCs w:val="18"/>
              </w:rPr>
            </w:pPr>
            <w:r w:rsidRPr="00D3217C">
              <w:rPr>
                <w:rFonts w:ascii="Arial" w:hAnsi="Arial" w:cs="Arial"/>
                <w:sz w:val="18"/>
                <w:szCs w:val="18"/>
              </w:rPr>
              <w:t>740,0</w:t>
            </w:r>
          </w:p>
        </w:tc>
      </w:tr>
      <w:tr w:rsidR="0024289E" w:rsidRPr="00D3217C" w:rsidTr="00D3217C">
        <w:trPr>
          <w:trHeight w:val="300"/>
        </w:trPr>
        <w:tc>
          <w:tcPr>
            <w:tcW w:w="4395" w:type="dxa"/>
            <w:tcBorders>
              <w:top w:val="single" w:sz="12" w:space="0" w:color="auto"/>
              <w:left w:val="single" w:sz="12" w:space="0" w:color="auto"/>
              <w:bottom w:val="single" w:sz="12" w:space="0" w:color="auto"/>
            </w:tcBorders>
            <w:noWrap/>
            <w:vAlign w:val="center"/>
            <w:hideMark/>
          </w:tcPr>
          <w:p w:rsidR="00F06670" w:rsidRPr="00D3217C" w:rsidRDefault="00F06670" w:rsidP="001C33E4">
            <w:pPr>
              <w:rPr>
                <w:rFonts w:ascii="Arial" w:hAnsi="Arial" w:cs="Arial"/>
                <w:b/>
                <w:sz w:val="18"/>
                <w:szCs w:val="18"/>
              </w:rPr>
            </w:pPr>
            <w:r w:rsidRPr="00D3217C">
              <w:rPr>
                <w:rFonts w:ascii="Arial" w:hAnsi="Arial" w:cs="Arial"/>
                <w:b/>
                <w:sz w:val="18"/>
                <w:szCs w:val="18"/>
              </w:rPr>
              <w:t>Součet úspor oproti situaci bez provedení reformy slev</w:t>
            </w:r>
          </w:p>
        </w:tc>
        <w:tc>
          <w:tcPr>
            <w:tcW w:w="1026" w:type="dxa"/>
            <w:tcBorders>
              <w:top w:val="single" w:sz="12" w:space="0" w:color="auto"/>
              <w:bottom w:val="single" w:sz="12" w:space="0" w:color="auto"/>
            </w:tcBorders>
            <w:noWrap/>
            <w:vAlign w:val="bottom"/>
          </w:tcPr>
          <w:p w:rsidR="00F06670" w:rsidRPr="00D3217C" w:rsidRDefault="00F06670" w:rsidP="001C33E4">
            <w:pPr>
              <w:jc w:val="center"/>
              <w:rPr>
                <w:rFonts w:ascii="Arial" w:hAnsi="Arial" w:cs="Arial"/>
                <w:b/>
                <w:sz w:val="18"/>
                <w:szCs w:val="18"/>
              </w:rPr>
            </w:pPr>
            <w:r w:rsidRPr="00D3217C">
              <w:rPr>
                <w:rFonts w:ascii="Arial" w:hAnsi="Arial" w:cs="Arial"/>
                <w:sz w:val="18"/>
                <w:szCs w:val="18"/>
              </w:rPr>
              <w:t> </w:t>
            </w:r>
          </w:p>
        </w:tc>
        <w:tc>
          <w:tcPr>
            <w:tcW w:w="1026" w:type="dxa"/>
            <w:tcBorders>
              <w:top w:val="single" w:sz="12" w:space="0" w:color="auto"/>
              <w:bottom w:val="single" w:sz="12" w:space="0" w:color="auto"/>
            </w:tcBorders>
            <w:noWrap/>
            <w:vAlign w:val="bottom"/>
          </w:tcPr>
          <w:p w:rsidR="00F06670" w:rsidRPr="00D3217C" w:rsidRDefault="00F06670" w:rsidP="001C33E4">
            <w:pPr>
              <w:jc w:val="center"/>
              <w:rPr>
                <w:rFonts w:ascii="Arial" w:hAnsi="Arial" w:cs="Arial"/>
                <w:b/>
                <w:sz w:val="18"/>
                <w:szCs w:val="18"/>
              </w:rPr>
            </w:pPr>
            <w:r w:rsidRPr="00D3217C">
              <w:rPr>
                <w:rFonts w:ascii="Arial" w:hAnsi="Arial" w:cs="Arial"/>
                <w:b/>
                <w:sz w:val="18"/>
                <w:szCs w:val="18"/>
              </w:rPr>
              <w:t>3 333,2</w:t>
            </w:r>
          </w:p>
        </w:tc>
        <w:tc>
          <w:tcPr>
            <w:tcW w:w="1026" w:type="dxa"/>
            <w:tcBorders>
              <w:top w:val="single" w:sz="12" w:space="0" w:color="auto"/>
              <w:bottom w:val="single" w:sz="12" w:space="0" w:color="auto"/>
            </w:tcBorders>
            <w:noWrap/>
            <w:vAlign w:val="bottom"/>
          </w:tcPr>
          <w:p w:rsidR="00F06670" w:rsidRPr="00D3217C" w:rsidRDefault="00F06670" w:rsidP="001C33E4">
            <w:pPr>
              <w:jc w:val="center"/>
              <w:rPr>
                <w:rFonts w:ascii="Arial" w:hAnsi="Arial" w:cs="Arial"/>
                <w:b/>
                <w:sz w:val="18"/>
                <w:szCs w:val="18"/>
              </w:rPr>
            </w:pPr>
            <w:r w:rsidRPr="00D3217C">
              <w:rPr>
                <w:rFonts w:ascii="Arial" w:hAnsi="Arial" w:cs="Arial"/>
                <w:b/>
                <w:sz w:val="18"/>
                <w:szCs w:val="18"/>
              </w:rPr>
              <w:t> </w:t>
            </w:r>
          </w:p>
        </w:tc>
        <w:tc>
          <w:tcPr>
            <w:tcW w:w="1027" w:type="dxa"/>
            <w:tcBorders>
              <w:top w:val="single" w:sz="12" w:space="0" w:color="auto"/>
              <w:bottom w:val="single" w:sz="12" w:space="0" w:color="auto"/>
              <w:right w:val="single" w:sz="12" w:space="0" w:color="auto"/>
            </w:tcBorders>
            <w:noWrap/>
            <w:vAlign w:val="bottom"/>
          </w:tcPr>
          <w:p w:rsidR="00F06670" w:rsidRPr="00D3217C" w:rsidRDefault="00F06670" w:rsidP="001C33E4">
            <w:pPr>
              <w:pStyle w:val="Odstavecseseznamem"/>
              <w:numPr>
                <w:ilvl w:val="0"/>
                <w:numId w:val="31"/>
              </w:numPr>
              <w:ind w:left="144" w:hanging="144"/>
              <w:jc w:val="center"/>
              <w:rPr>
                <w:rFonts w:ascii="Arial" w:hAnsi="Arial" w:cs="Arial"/>
                <w:b/>
                <w:sz w:val="18"/>
                <w:szCs w:val="18"/>
              </w:rPr>
            </w:pPr>
            <w:r w:rsidRPr="00D3217C">
              <w:rPr>
                <w:rFonts w:ascii="Arial" w:hAnsi="Arial" w:cs="Arial"/>
                <w:b/>
                <w:sz w:val="18"/>
                <w:szCs w:val="18"/>
              </w:rPr>
              <w:t>014,2</w:t>
            </w:r>
          </w:p>
        </w:tc>
      </w:tr>
    </w:tbl>
    <w:p w:rsidR="002D0769" w:rsidRPr="00D3217C" w:rsidRDefault="00F06670" w:rsidP="001C33E4">
      <w:pPr>
        <w:pStyle w:val="Odstavecseseznamem"/>
        <w:numPr>
          <w:ilvl w:val="0"/>
          <w:numId w:val="10"/>
        </w:numPr>
        <w:spacing w:before="120" w:after="120" w:line="240" w:lineRule="auto"/>
        <w:ind w:left="567" w:hanging="567"/>
        <w:contextualSpacing w:val="0"/>
        <w:jc w:val="both"/>
        <w:rPr>
          <w:rFonts w:ascii="Arial" w:hAnsi="Arial" w:cs="Arial"/>
        </w:rPr>
      </w:pPr>
      <w:r w:rsidRPr="00D3217C">
        <w:rPr>
          <w:rFonts w:ascii="Arial" w:hAnsi="Arial" w:cs="Arial"/>
        </w:rPr>
        <w:t xml:space="preserve">Konečně zbývá i u varianty II odpovědět </w:t>
      </w:r>
      <w:r w:rsidR="00A34C8E" w:rsidRPr="00D3217C">
        <w:rPr>
          <w:rFonts w:ascii="Arial" w:hAnsi="Arial" w:cs="Arial"/>
        </w:rPr>
        <w:t xml:space="preserve">na </w:t>
      </w:r>
      <w:r w:rsidRPr="00D3217C">
        <w:rPr>
          <w:rFonts w:ascii="Arial" w:hAnsi="Arial" w:cs="Arial"/>
        </w:rPr>
        <w:t xml:space="preserve">otázku, jaký bude předpokládaný střednědobý dopad na veřejné rozpočty z pohledu objednatelů. Využijeme-li předpoklady uvedené v části 3 tohoto materiálu a vezmeme-li v úvahu, že podstatná většina slev je redukována poměrně výrazně (děti a studenti ze 75 % na 25 %, odhadujeme index úbytku výnosů, tj. část z výpadku kompenzací slev, kterou budou muset v konečném důsledku zaplatit objednatelé, na </w:t>
      </w:r>
      <w:r w:rsidR="001C33E4" w:rsidRPr="00D3217C">
        <w:rPr>
          <w:rFonts w:ascii="Arial" w:hAnsi="Arial" w:cs="Arial"/>
        </w:rPr>
        <w:t>25 %</w:t>
      </w:r>
      <w:r w:rsidRPr="00D3217C">
        <w:rPr>
          <w:rFonts w:ascii="Arial" w:hAnsi="Arial" w:cs="Arial"/>
        </w:rPr>
        <w:t>. V propočtech vychází, že předpokládaný střednědobý dopad do rozpočtu krajů bude v několika následujících letech asi 350 – 550 mil. Kč ročně a v případě rozpočtu MD (objednávka státu) odhadem 60 – 110 mil. Kč ročně. Uvedený odhad ale stejně jako u předchozí varianty I záleží na řadě faktorů: na elasticitě poptávky, na celkovém vývoji poptávky v post-</w:t>
      </w:r>
      <w:proofErr w:type="spellStart"/>
      <w:r w:rsidRPr="00D3217C">
        <w:rPr>
          <w:rFonts w:ascii="Arial" w:hAnsi="Arial" w:cs="Arial"/>
        </w:rPr>
        <w:t>covidovém</w:t>
      </w:r>
      <w:proofErr w:type="spellEnd"/>
      <w:r w:rsidRPr="00D3217C">
        <w:rPr>
          <w:rFonts w:ascii="Arial" w:hAnsi="Arial" w:cs="Arial"/>
        </w:rPr>
        <w:t xml:space="preserve"> období, na efektivitě tarifního plánování dopravců (optimalizace tarifu na trh) a v neposlední řadě i na politických požadavcích regionálních objednatelů, týkajících se cen v regionální dopravě.</w:t>
      </w:r>
    </w:p>
    <w:p w:rsidR="00D15BF5" w:rsidRPr="00D3217C" w:rsidRDefault="00D15BF5" w:rsidP="00D15BF5">
      <w:pPr>
        <w:spacing w:before="120" w:after="120" w:line="240" w:lineRule="auto"/>
        <w:jc w:val="both"/>
        <w:rPr>
          <w:rFonts w:ascii="Arial" w:hAnsi="Arial" w:cs="Arial"/>
        </w:rPr>
      </w:pPr>
    </w:p>
    <w:p w:rsidR="00D15BF5" w:rsidRPr="00D3217C" w:rsidRDefault="00D15BF5" w:rsidP="00D15BF5">
      <w:pPr>
        <w:tabs>
          <w:tab w:val="left" w:pos="567"/>
        </w:tabs>
        <w:spacing w:before="120" w:after="120" w:line="240" w:lineRule="auto"/>
        <w:jc w:val="both"/>
        <w:rPr>
          <w:rFonts w:ascii="Arial" w:hAnsi="Arial" w:cs="Arial"/>
          <w:b/>
          <w:color w:val="002060"/>
        </w:rPr>
      </w:pPr>
      <w:r w:rsidRPr="00D3217C">
        <w:rPr>
          <w:rFonts w:ascii="Arial" w:hAnsi="Arial" w:cs="Arial"/>
          <w:b/>
          <w:color w:val="002060"/>
        </w:rPr>
        <w:t>5.3</w:t>
      </w:r>
      <w:r w:rsidRPr="00D3217C">
        <w:rPr>
          <w:rFonts w:ascii="Arial" w:hAnsi="Arial" w:cs="Arial"/>
          <w:b/>
          <w:color w:val="002060"/>
        </w:rPr>
        <w:tab/>
        <w:t>Varianta III - rovné snížení slev na 50 % u všech „nových“ slev z roku 2018</w:t>
      </w:r>
    </w:p>
    <w:p w:rsidR="00D15BF5" w:rsidRPr="00D3217C" w:rsidRDefault="00D15BF5" w:rsidP="00D15BF5">
      <w:pPr>
        <w:pStyle w:val="Odstavecseseznamem"/>
        <w:numPr>
          <w:ilvl w:val="0"/>
          <w:numId w:val="10"/>
        </w:numPr>
        <w:spacing w:before="120" w:after="120" w:line="240" w:lineRule="auto"/>
        <w:ind w:left="567" w:hanging="567"/>
        <w:contextualSpacing w:val="0"/>
        <w:jc w:val="both"/>
        <w:rPr>
          <w:rFonts w:ascii="Arial" w:hAnsi="Arial" w:cs="Arial"/>
        </w:rPr>
      </w:pPr>
      <w:r w:rsidRPr="00D3217C">
        <w:rPr>
          <w:rFonts w:ascii="Arial" w:hAnsi="Arial" w:cs="Arial"/>
        </w:rPr>
        <w:t xml:space="preserve">O této variantě lze uvést, že je vyvážená. Nediskriminuje žádnou ze slevových skupin – dětem, studentům i seniorům nad 65 </w:t>
      </w:r>
      <w:r w:rsidR="00941D43" w:rsidRPr="00D3217C">
        <w:rPr>
          <w:rFonts w:ascii="Arial" w:hAnsi="Arial" w:cs="Arial"/>
        </w:rPr>
        <w:t xml:space="preserve">let </w:t>
      </w:r>
      <w:r w:rsidRPr="00D3217C">
        <w:rPr>
          <w:rFonts w:ascii="Arial" w:hAnsi="Arial" w:cs="Arial"/>
        </w:rPr>
        <w:t>navrhuje při cestách (mimo MHD) přiznat rovnou slevu 50 %. Výhodou je, že tuto variantu nelze označit žádnou ze zájmových skupin jako diskriminující seniory či naopak rodiny</w:t>
      </w:r>
      <w:r w:rsidR="00E24EC4" w:rsidRPr="00D3217C">
        <w:rPr>
          <w:rFonts w:ascii="Arial" w:hAnsi="Arial" w:cs="Arial"/>
        </w:rPr>
        <w:t>. V</w:t>
      </w:r>
      <w:r w:rsidRPr="00D3217C">
        <w:rPr>
          <w:rFonts w:ascii="Arial" w:hAnsi="Arial" w:cs="Arial"/>
        </w:rPr>
        <w:t xml:space="preserve">elkou výhodou je jednoduchost </w:t>
      </w:r>
      <w:r w:rsidR="00E24EC4" w:rsidRPr="00D3217C">
        <w:rPr>
          <w:rFonts w:ascii="Arial" w:hAnsi="Arial" w:cs="Arial"/>
        </w:rPr>
        <w:t xml:space="preserve">rovného </w:t>
      </w:r>
      <w:r w:rsidRPr="00D3217C">
        <w:rPr>
          <w:rFonts w:ascii="Arial" w:hAnsi="Arial" w:cs="Arial"/>
        </w:rPr>
        <w:t xml:space="preserve">stanovení slev, která byla všemi </w:t>
      </w:r>
      <w:r w:rsidR="00E24EC4" w:rsidRPr="00D3217C">
        <w:rPr>
          <w:rFonts w:ascii="Arial" w:hAnsi="Arial" w:cs="Arial"/>
        </w:rPr>
        <w:t xml:space="preserve">zájmovými skupinami v minulosti </w:t>
      </w:r>
      <w:r w:rsidRPr="00D3217C">
        <w:rPr>
          <w:rFonts w:ascii="Arial" w:hAnsi="Arial" w:cs="Arial"/>
        </w:rPr>
        <w:t>velmi vyzdvihována. M</w:t>
      </w:r>
      <w:r w:rsidR="00E24EC4" w:rsidRPr="00D3217C">
        <w:rPr>
          <w:rFonts w:ascii="Arial" w:hAnsi="Arial" w:cs="Arial"/>
        </w:rPr>
        <w:t>ezi</w:t>
      </w:r>
      <w:r w:rsidRPr="00D3217C">
        <w:rPr>
          <w:rFonts w:ascii="Arial" w:hAnsi="Arial" w:cs="Arial"/>
        </w:rPr>
        <w:t xml:space="preserve"> výhody patří i to, že pravděpodobně nebude mít za důsledek velké změny počtu </w:t>
      </w:r>
      <w:r w:rsidR="00BA067F" w:rsidRPr="00D3217C">
        <w:rPr>
          <w:rFonts w:ascii="Arial" w:hAnsi="Arial" w:cs="Arial"/>
        </w:rPr>
        <w:t>přepravených</w:t>
      </w:r>
      <w:r w:rsidRPr="00D3217C">
        <w:rPr>
          <w:rFonts w:ascii="Arial" w:hAnsi="Arial" w:cs="Arial"/>
        </w:rPr>
        <w:t xml:space="preserve"> osob směrem dolů</w:t>
      </w:r>
      <w:r w:rsidR="00BA067F" w:rsidRPr="00D3217C">
        <w:rPr>
          <w:rFonts w:ascii="Arial" w:hAnsi="Arial" w:cs="Arial"/>
        </w:rPr>
        <w:t>, protože sleva se sice sníží z původních štědrých 75 %</w:t>
      </w:r>
      <w:r w:rsidR="00E24EC4" w:rsidRPr="00D3217C">
        <w:rPr>
          <w:rFonts w:ascii="Arial" w:hAnsi="Arial" w:cs="Arial"/>
        </w:rPr>
        <w:t xml:space="preserve"> na 50 %</w:t>
      </w:r>
      <w:r w:rsidR="00BA067F" w:rsidRPr="00D3217C">
        <w:rPr>
          <w:rFonts w:ascii="Arial" w:hAnsi="Arial" w:cs="Arial"/>
        </w:rPr>
        <w:t xml:space="preserve">, ale i tak zůstane pro cestující </w:t>
      </w:r>
      <w:r w:rsidR="00E24EC4" w:rsidRPr="00D3217C">
        <w:rPr>
          <w:rFonts w:ascii="Arial" w:hAnsi="Arial" w:cs="Arial"/>
        </w:rPr>
        <w:t xml:space="preserve">velice </w:t>
      </w:r>
      <w:r w:rsidR="00BA067F" w:rsidRPr="00D3217C">
        <w:rPr>
          <w:rFonts w:ascii="Arial" w:hAnsi="Arial" w:cs="Arial"/>
        </w:rPr>
        <w:t>atraktivní</w:t>
      </w:r>
      <w:r w:rsidRPr="00D3217C">
        <w:rPr>
          <w:rFonts w:ascii="Arial" w:hAnsi="Arial" w:cs="Arial"/>
        </w:rPr>
        <w:t xml:space="preserve">. </w:t>
      </w:r>
      <w:r w:rsidR="00E24EC4" w:rsidRPr="00D3217C">
        <w:rPr>
          <w:rFonts w:ascii="Arial" w:hAnsi="Arial" w:cs="Arial"/>
        </w:rPr>
        <w:t>N</w:t>
      </w:r>
      <w:r w:rsidRPr="00D3217C">
        <w:rPr>
          <w:rFonts w:ascii="Arial" w:hAnsi="Arial" w:cs="Arial"/>
        </w:rPr>
        <w:t xml:space="preserve">evýhodou </w:t>
      </w:r>
      <w:r w:rsidR="00BA067F" w:rsidRPr="00D3217C">
        <w:rPr>
          <w:rFonts w:ascii="Arial" w:hAnsi="Arial" w:cs="Arial"/>
        </w:rPr>
        <w:t xml:space="preserve">této varianty </w:t>
      </w:r>
      <w:r w:rsidRPr="00D3217C">
        <w:rPr>
          <w:rFonts w:ascii="Arial" w:hAnsi="Arial" w:cs="Arial"/>
        </w:rPr>
        <w:t xml:space="preserve">je, že </w:t>
      </w:r>
      <w:r w:rsidR="00BA067F" w:rsidRPr="00D3217C">
        <w:rPr>
          <w:rFonts w:ascii="Arial" w:hAnsi="Arial" w:cs="Arial"/>
        </w:rPr>
        <w:t xml:space="preserve">její rovnost a jednoduchost je </w:t>
      </w:r>
      <w:r w:rsidRPr="00D3217C">
        <w:rPr>
          <w:rFonts w:ascii="Arial" w:hAnsi="Arial" w:cs="Arial"/>
        </w:rPr>
        <w:t xml:space="preserve">ve srovnání s předchozími variantami </w:t>
      </w:r>
      <w:r w:rsidR="00BA067F" w:rsidRPr="00D3217C">
        <w:rPr>
          <w:rFonts w:ascii="Arial" w:hAnsi="Arial" w:cs="Arial"/>
        </w:rPr>
        <w:t>vyvážen</w:t>
      </w:r>
      <w:r w:rsidR="00E24EC4" w:rsidRPr="00D3217C">
        <w:rPr>
          <w:rFonts w:ascii="Arial" w:hAnsi="Arial" w:cs="Arial"/>
        </w:rPr>
        <w:t>a</w:t>
      </w:r>
      <w:r w:rsidR="00BA067F" w:rsidRPr="00D3217C">
        <w:rPr>
          <w:rFonts w:ascii="Arial" w:hAnsi="Arial" w:cs="Arial"/>
        </w:rPr>
        <w:t xml:space="preserve"> tím, že </w:t>
      </w:r>
      <w:r w:rsidRPr="00D3217C">
        <w:rPr>
          <w:rFonts w:ascii="Arial" w:hAnsi="Arial" w:cs="Arial"/>
        </w:rPr>
        <w:t>úspory</w:t>
      </w:r>
      <w:r w:rsidR="00BA067F" w:rsidRPr="00D3217C">
        <w:rPr>
          <w:rFonts w:ascii="Arial" w:hAnsi="Arial" w:cs="Arial"/>
        </w:rPr>
        <w:t xml:space="preserve"> veřejných prostředků</w:t>
      </w:r>
      <w:r w:rsidRPr="00D3217C">
        <w:rPr>
          <w:rFonts w:ascii="Arial" w:hAnsi="Arial" w:cs="Arial"/>
        </w:rPr>
        <w:t xml:space="preserve"> nejsou tak vysoké</w:t>
      </w:r>
      <w:r w:rsidR="00BA067F" w:rsidRPr="00D3217C">
        <w:rPr>
          <w:rFonts w:ascii="Arial" w:hAnsi="Arial" w:cs="Arial"/>
        </w:rPr>
        <w:t xml:space="preserve"> jako v předchozích variantách</w:t>
      </w:r>
      <w:r w:rsidRPr="00D3217C">
        <w:rPr>
          <w:rFonts w:ascii="Arial" w:hAnsi="Arial" w:cs="Arial"/>
        </w:rPr>
        <w:t>.</w:t>
      </w:r>
    </w:p>
    <w:p w:rsidR="00D15BF5" w:rsidRPr="00D3217C" w:rsidRDefault="00D15BF5" w:rsidP="00D15BF5">
      <w:pPr>
        <w:pStyle w:val="Odstavecseseznamem"/>
        <w:numPr>
          <w:ilvl w:val="0"/>
          <w:numId w:val="10"/>
        </w:numPr>
        <w:spacing w:after="120" w:line="240" w:lineRule="auto"/>
        <w:ind w:left="567" w:hanging="567"/>
        <w:contextualSpacing w:val="0"/>
        <w:jc w:val="both"/>
        <w:rPr>
          <w:rFonts w:ascii="Arial" w:hAnsi="Arial" w:cs="Arial"/>
        </w:rPr>
      </w:pPr>
      <w:r w:rsidRPr="00D3217C">
        <w:rPr>
          <w:rFonts w:ascii="Arial" w:hAnsi="Arial" w:cs="Arial"/>
        </w:rPr>
        <w:t>Následující tabulka ukazuje přehled slev ve variantě II</w:t>
      </w:r>
      <w:r w:rsidR="00BA067F" w:rsidRPr="00D3217C">
        <w:rPr>
          <w:rFonts w:ascii="Arial" w:hAnsi="Arial" w:cs="Arial"/>
        </w:rPr>
        <w:t>I</w:t>
      </w:r>
      <w:r w:rsidRPr="00D3217C">
        <w:rPr>
          <w:rFonts w:ascii="Arial" w:hAnsi="Arial" w:cs="Arial"/>
        </w:rPr>
        <w:t xml:space="preserve">. </w:t>
      </w:r>
    </w:p>
    <w:p w:rsidR="00D15BF5" w:rsidRPr="00D3217C" w:rsidRDefault="00BA067F"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Tab. 13</w:t>
      </w:r>
      <w:r w:rsidR="00D15BF5" w:rsidRPr="00D3217C">
        <w:rPr>
          <w:rFonts w:ascii="Arial" w:hAnsi="Arial" w:cs="Arial"/>
          <w:b/>
          <w:color w:val="002060"/>
          <w:sz w:val="18"/>
          <w:szCs w:val="18"/>
        </w:rPr>
        <w:t>: Přehled státem nařízených slev – možný navržený stav ve variantě II</w:t>
      </w:r>
      <w:r w:rsidR="00A34C8E" w:rsidRPr="00D3217C">
        <w:rPr>
          <w:rFonts w:ascii="Arial" w:hAnsi="Arial" w:cs="Arial"/>
          <w:b/>
          <w:color w:val="002060"/>
          <w:sz w:val="18"/>
          <w:szCs w:val="18"/>
        </w:rPr>
        <w:t>I</w:t>
      </w:r>
    </w:p>
    <w:tbl>
      <w:tblPr>
        <w:tblStyle w:val="Mkatabulky"/>
        <w:tblW w:w="0" w:type="auto"/>
        <w:tblInd w:w="552" w:type="dxa"/>
        <w:tblLayout w:type="fixed"/>
        <w:tblLook w:val="04A0" w:firstRow="1" w:lastRow="0" w:firstColumn="1" w:lastColumn="0" w:noHBand="0" w:noVBand="1"/>
      </w:tblPr>
      <w:tblGrid>
        <w:gridCol w:w="1778"/>
        <w:gridCol w:w="1678"/>
        <w:gridCol w:w="1678"/>
        <w:gridCol w:w="1678"/>
        <w:gridCol w:w="1678"/>
      </w:tblGrid>
      <w:tr w:rsidR="00D15BF5" w:rsidRPr="00D3217C" w:rsidTr="00D3217C">
        <w:tc>
          <w:tcPr>
            <w:tcW w:w="1778" w:type="dxa"/>
            <w:vMerge w:val="restart"/>
            <w:tcBorders>
              <w:top w:val="single" w:sz="12" w:space="0" w:color="auto"/>
              <w:left w:val="single" w:sz="12" w:space="0" w:color="auto"/>
            </w:tcBorders>
            <w:shd w:val="clear" w:color="auto" w:fill="FFF2CC" w:themeFill="accent4" w:themeFillTint="33"/>
          </w:tcPr>
          <w:p w:rsidR="00D15BF5" w:rsidRPr="00D3217C" w:rsidRDefault="00D15BF5" w:rsidP="00D3217C">
            <w:pPr>
              <w:spacing w:after="120"/>
              <w:ind w:left="171"/>
              <w:rPr>
                <w:rFonts w:ascii="Arial" w:hAnsi="Arial" w:cs="Arial"/>
                <w:sz w:val="18"/>
                <w:szCs w:val="18"/>
              </w:rPr>
            </w:pPr>
            <w:r w:rsidRPr="00D3217C">
              <w:rPr>
                <w:rFonts w:ascii="Arial" w:hAnsi="Arial" w:cs="Arial"/>
                <w:sz w:val="18"/>
                <w:szCs w:val="18"/>
              </w:rPr>
              <w:t xml:space="preserve">Skupina cestujících </w:t>
            </w:r>
          </w:p>
        </w:tc>
        <w:tc>
          <w:tcPr>
            <w:tcW w:w="6712" w:type="dxa"/>
            <w:gridSpan w:val="4"/>
            <w:tcBorders>
              <w:top w:val="single" w:sz="12" w:space="0" w:color="auto"/>
              <w:right w:val="single" w:sz="12" w:space="0" w:color="auto"/>
            </w:tcBorders>
            <w:shd w:val="clear" w:color="auto" w:fill="FFF2CC" w:themeFill="accent4" w:themeFillTint="33"/>
          </w:tcPr>
          <w:p w:rsidR="00D15BF5" w:rsidRPr="00D3217C" w:rsidRDefault="00D15BF5" w:rsidP="00D3217C">
            <w:pPr>
              <w:spacing w:after="120"/>
              <w:ind w:left="567"/>
              <w:jc w:val="center"/>
              <w:rPr>
                <w:rFonts w:ascii="Arial" w:hAnsi="Arial" w:cs="Arial"/>
                <w:sz w:val="18"/>
                <w:szCs w:val="18"/>
              </w:rPr>
            </w:pPr>
            <w:r w:rsidRPr="00D3217C">
              <w:rPr>
                <w:rFonts w:ascii="Arial" w:hAnsi="Arial" w:cs="Arial"/>
                <w:sz w:val="18"/>
                <w:szCs w:val="18"/>
              </w:rPr>
              <w:t>Přepravní služby zajišťované</w:t>
            </w:r>
          </w:p>
        </w:tc>
      </w:tr>
      <w:tr w:rsidR="00D15BF5" w:rsidRPr="00D3217C" w:rsidTr="00D3217C">
        <w:tc>
          <w:tcPr>
            <w:tcW w:w="1778" w:type="dxa"/>
            <w:vMerge/>
            <w:tcBorders>
              <w:left w:val="single" w:sz="12" w:space="0" w:color="auto"/>
              <w:bottom w:val="single" w:sz="12" w:space="0" w:color="auto"/>
            </w:tcBorders>
            <w:shd w:val="clear" w:color="auto" w:fill="FFF2CC" w:themeFill="accent4" w:themeFillTint="33"/>
          </w:tcPr>
          <w:p w:rsidR="00D15BF5" w:rsidRPr="00D3217C" w:rsidRDefault="00D15BF5" w:rsidP="00D3217C">
            <w:pPr>
              <w:spacing w:after="120"/>
              <w:ind w:left="567"/>
              <w:rPr>
                <w:rFonts w:ascii="Arial" w:hAnsi="Arial" w:cs="Arial"/>
                <w:sz w:val="18"/>
                <w:szCs w:val="18"/>
              </w:rPr>
            </w:pPr>
          </w:p>
        </w:tc>
        <w:tc>
          <w:tcPr>
            <w:tcW w:w="1678" w:type="dxa"/>
            <w:tcBorders>
              <w:bottom w:val="single" w:sz="12" w:space="0" w:color="auto"/>
            </w:tcBorders>
            <w:shd w:val="clear" w:color="auto" w:fill="FFF2CC" w:themeFill="accent4"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IDS mimo MHD</w:t>
            </w:r>
          </w:p>
        </w:tc>
        <w:tc>
          <w:tcPr>
            <w:tcW w:w="1678" w:type="dxa"/>
            <w:tcBorders>
              <w:bottom w:val="single" w:sz="12" w:space="0" w:color="auto"/>
            </w:tcBorders>
            <w:shd w:val="clear" w:color="auto" w:fill="FFF2CC" w:themeFill="accent4"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železniční mimo IDS</w:t>
            </w:r>
          </w:p>
        </w:tc>
        <w:tc>
          <w:tcPr>
            <w:tcW w:w="1678" w:type="dxa"/>
            <w:tcBorders>
              <w:bottom w:val="single" w:sz="12" w:space="0" w:color="auto"/>
            </w:tcBorders>
            <w:shd w:val="clear" w:color="auto" w:fill="FFF2CC" w:themeFill="accent4"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autobusová mimo IDS</w:t>
            </w:r>
          </w:p>
        </w:tc>
        <w:tc>
          <w:tcPr>
            <w:tcW w:w="1678" w:type="dxa"/>
            <w:tcBorders>
              <w:bottom w:val="single" w:sz="12" w:space="0" w:color="auto"/>
              <w:right w:val="single" w:sz="12" w:space="0" w:color="auto"/>
            </w:tcBorders>
            <w:shd w:val="clear" w:color="auto" w:fill="FFF2CC" w:themeFill="accent4"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MHD</w:t>
            </w:r>
          </w:p>
        </w:tc>
      </w:tr>
      <w:tr w:rsidR="00D15BF5" w:rsidRPr="00D3217C" w:rsidTr="00D3217C">
        <w:tc>
          <w:tcPr>
            <w:tcW w:w="1778" w:type="dxa"/>
            <w:tcBorders>
              <w:top w:val="single" w:sz="12" w:space="0" w:color="auto"/>
            </w:tcBorders>
          </w:tcPr>
          <w:p w:rsidR="00D15BF5" w:rsidRPr="00D3217C" w:rsidRDefault="00D15BF5" w:rsidP="00D3217C">
            <w:pPr>
              <w:spacing w:after="120"/>
              <w:ind w:left="171"/>
              <w:rPr>
                <w:rFonts w:ascii="Arial" w:hAnsi="Arial" w:cs="Arial"/>
                <w:sz w:val="18"/>
                <w:szCs w:val="18"/>
              </w:rPr>
            </w:pPr>
            <w:r w:rsidRPr="00D3217C">
              <w:rPr>
                <w:rFonts w:ascii="Arial" w:hAnsi="Arial" w:cs="Arial"/>
                <w:sz w:val="18"/>
                <w:szCs w:val="18"/>
              </w:rPr>
              <w:t>děti do 6 let</w:t>
            </w:r>
          </w:p>
        </w:tc>
        <w:tc>
          <w:tcPr>
            <w:tcW w:w="1678" w:type="dxa"/>
            <w:tcBorders>
              <w:top w:val="single" w:sz="12" w:space="0" w:color="auto"/>
            </w:tcBorders>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 max. 2 děti</w:t>
            </w:r>
          </w:p>
        </w:tc>
        <w:tc>
          <w:tcPr>
            <w:tcW w:w="1678" w:type="dxa"/>
            <w:tcBorders>
              <w:top w:val="single" w:sz="12" w:space="0" w:color="auto"/>
            </w:tcBorders>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 max. 2 děti</w:t>
            </w:r>
          </w:p>
        </w:tc>
        <w:tc>
          <w:tcPr>
            <w:tcW w:w="1678" w:type="dxa"/>
            <w:tcBorders>
              <w:top w:val="single" w:sz="12" w:space="0" w:color="auto"/>
            </w:tcBorders>
            <w:shd w:val="clear" w:color="auto" w:fill="FBE4D5" w:themeFill="accent2"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 xml:space="preserve">bezplatně, </w:t>
            </w:r>
            <w:r w:rsidRPr="00D3217C">
              <w:rPr>
                <w:rFonts w:ascii="Arial" w:hAnsi="Arial" w:cs="Arial"/>
                <w:sz w:val="18"/>
                <w:szCs w:val="18"/>
                <w:shd w:val="clear" w:color="auto" w:fill="FBE4D5" w:themeFill="accent2" w:themeFillTint="33"/>
              </w:rPr>
              <w:t xml:space="preserve">max. </w:t>
            </w:r>
            <w:r w:rsidRPr="00D3217C">
              <w:rPr>
                <w:rFonts w:ascii="Arial" w:hAnsi="Arial" w:cs="Arial"/>
                <w:b/>
                <w:color w:val="C00000"/>
                <w:sz w:val="18"/>
                <w:szCs w:val="18"/>
                <w:shd w:val="clear" w:color="auto" w:fill="FBE4D5" w:themeFill="accent2" w:themeFillTint="33"/>
              </w:rPr>
              <w:t>2</w:t>
            </w:r>
            <w:r w:rsidRPr="00D3217C">
              <w:rPr>
                <w:rFonts w:ascii="Arial" w:hAnsi="Arial" w:cs="Arial"/>
                <w:sz w:val="18"/>
                <w:szCs w:val="18"/>
                <w:shd w:val="clear" w:color="auto" w:fill="FBE4D5" w:themeFill="accent2" w:themeFillTint="33"/>
              </w:rPr>
              <w:t xml:space="preserve"> </w:t>
            </w:r>
            <w:r w:rsidRPr="00D3217C">
              <w:rPr>
                <w:rFonts w:ascii="Arial" w:hAnsi="Arial" w:cs="Arial"/>
                <w:b/>
                <w:color w:val="C00000"/>
                <w:sz w:val="18"/>
                <w:szCs w:val="18"/>
                <w:shd w:val="clear" w:color="auto" w:fill="FBE4D5" w:themeFill="accent2" w:themeFillTint="33"/>
              </w:rPr>
              <w:t>děti</w:t>
            </w:r>
          </w:p>
        </w:tc>
        <w:tc>
          <w:tcPr>
            <w:tcW w:w="1678" w:type="dxa"/>
            <w:tcBorders>
              <w:top w:val="single" w:sz="12" w:space="0" w:color="auto"/>
            </w:tcBorders>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w:t>
            </w:r>
          </w:p>
        </w:tc>
      </w:tr>
      <w:tr w:rsidR="00BA067F" w:rsidRPr="00D3217C" w:rsidTr="00D3217C">
        <w:tc>
          <w:tcPr>
            <w:tcW w:w="1778" w:type="dxa"/>
          </w:tcPr>
          <w:p w:rsidR="00BA067F" w:rsidRPr="00D3217C" w:rsidRDefault="00BA067F" w:rsidP="00D3217C">
            <w:pPr>
              <w:spacing w:after="120"/>
              <w:ind w:left="171"/>
              <w:rPr>
                <w:rFonts w:ascii="Arial" w:hAnsi="Arial" w:cs="Arial"/>
                <w:sz w:val="18"/>
                <w:szCs w:val="18"/>
              </w:rPr>
            </w:pPr>
            <w:r w:rsidRPr="00D3217C">
              <w:rPr>
                <w:rFonts w:ascii="Arial" w:hAnsi="Arial" w:cs="Arial"/>
                <w:sz w:val="18"/>
                <w:szCs w:val="18"/>
              </w:rPr>
              <w:t>děti 6-18</w:t>
            </w:r>
          </w:p>
        </w:tc>
        <w:tc>
          <w:tcPr>
            <w:tcW w:w="1678" w:type="dxa"/>
            <w:shd w:val="clear" w:color="auto" w:fill="E2EFD9" w:themeFill="accent6" w:themeFillTint="33"/>
          </w:tcPr>
          <w:p w:rsidR="00BA067F" w:rsidRPr="00D3217C" w:rsidRDefault="00BA067F"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shd w:val="clear" w:color="auto" w:fill="E2EFD9" w:themeFill="accent6" w:themeFillTint="33"/>
          </w:tcPr>
          <w:p w:rsidR="00BA067F" w:rsidRPr="00D3217C" w:rsidRDefault="00BA067F"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shd w:val="clear" w:color="auto" w:fill="E2EFD9" w:themeFill="accent6" w:themeFillTint="33"/>
          </w:tcPr>
          <w:p w:rsidR="00BA067F" w:rsidRPr="00D3217C" w:rsidRDefault="00BA067F"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tcPr>
          <w:p w:rsidR="00BA067F" w:rsidRPr="00D3217C" w:rsidRDefault="00BA067F" w:rsidP="00D3217C">
            <w:pPr>
              <w:spacing w:after="120"/>
              <w:jc w:val="center"/>
              <w:rPr>
                <w:rFonts w:ascii="Arial" w:hAnsi="Arial" w:cs="Arial"/>
                <w:sz w:val="18"/>
                <w:szCs w:val="18"/>
              </w:rPr>
            </w:pPr>
            <w:r w:rsidRPr="00D3217C">
              <w:rPr>
                <w:rFonts w:ascii="Arial" w:hAnsi="Arial" w:cs="Arial"/>
                <w:sz w:val="18"/>
                <w:szCs w:val="18"/>
              </w:rPr>
              <w:t>---</w:t>
            </w:r>
          </w:p>
        </w:tc>
      </w:tr>
      <w:tr w:rsidR="00BA067F" w:rsidRPr="00D3217C" w:rsidTr="00D3217C">
        <w:tc>
          <w:tcPr>
            <w:tcW w:w="1778" w:type="dxa"/>
          </w:tcPr>
          <w:p w:rsidR="00BA067F" w:rsidRPr="00D3217C" w:rsidRDefault="00BA067F" w:rsidP="00D3217C">
            <w:pPr>
              <w:spacing w:after="120"/>
              <w:ind w:left="171"/>
              <w:rPr>
                <w:rFonts w:ascii="Arial" w:hAnsi="Arial" w:cs="Arial"/>
                <w:sz w:val="18"/>
                <w:szCs w:val="18"/>
              </w:rPr>
            </w:pPr>
            <w:r w:rsidRPr="00D3217C">
              <w:rPr>
                <w:rFonts w:ascii="Arial" w:hAnsi="Arial" w:cs="Arial"/>
                <w:sz w:val="18"/>
                <w:szCs w:val="18"/>
              </w:rPr>
              <w:t xml:space="preserve">studující 18-26 </w:t>
            </w:r>
          </w:p>
        </w:tc>
        <w:tc>
          <w:tcPr>
            <w:tcW w:w="1678" w:type="dxa"/>
            <w:shd w:val="clear" w:color="auto" w:fill="E2EFD9" w:themeFill="accent6" w:themeFillTint="33"/>
          </w:tcPr>
          <w:p w:rsidR="00BA067F" w:rsidRPr="00D3217C" w:rsidRDefault="00BA067F"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shd w:val="clear" w:color="auto" w:fill="E2EFD9" w:themeFill="accent6" w:themeFillTint="33"/>
          </w:tcPr>
          <w:p w:rsidR="00BA067F" w:rsidRPr="00D3217C" w:rsidRDefault="00BA067F"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shd w:val="clear" w:color="auto" w:fill="E2EFD9" w:themeFill="accent6" w:themeFillTint="33"/>
          </w:tcPr>
          <w:p w:rsidR="00BA067F" w:rsidRPr="00D3217C" w:rsidRDefault="00BA067F"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tcPr>
          <w:p w:rsidR="00BA067F" w:rsidRPr="00D3217C" w:rsidRDefault="00BA067F" w:rsidP="00D3217C">
            <w:pPr>
              <w:spacing w:after="120"/>
              <w:jc w:val="center"/>
              <w:rPr>
                <w:rFonts w:ascii="Arial" w:hAnsi="Arial" w:cs="Arial"/>
                <w:sz w:val="18"/>
                <w:szCs w:val="18"/>
              </w:rPr>
            </w:pPr>
            <w:r w:rsidRPr="00D3217C">
              <w:rPr>
                <w:rFonts w:ascii="Arial" w:hAnsi="Arial" w:cs="Arial"/>
                <w:sz w:val="18"/>
                <w:szCs w:val="18"/>
              </w:rPr>
              <w:t>---</w:t>
            </w:r>
          </w:p>
        </w:tc>
      </w:tr>
      <w:tr w:rsidR="00D15BF5" w:rsidRPr="00D3217C" w:rsidTr="00D3217C">
        <w:tc>
          <w:tcPr>
            <w:tcW w:w="1778" w:type="dxa"/>
          </w:tcPr>
          <w:p w:rsidR="00D15BF5" w:rsidRPr="00D3217C" w:rsidRDefault="00D15BF5" w:rsidP="00D3217C">
            <w:pPr>
              <w:spacing w:after="120"/>
              <w:ind w:left="171"/>
              <w:rPr>
                <w:rFonts w:ascii="Arial" w:hAnsi="Arial" w:cs="Arial"/>
                <w:sz w:val="18"/>
                <w:szCs w:val="18"/>
              </w:rPr>
            </w:pPr>
            <w:r w:rsidRPr="00D3217C">
              <w:rPr>
                <w:rFonts w:ascii="Arial" w:hAnsi="Arial" w:cs="Arial"/>
                <w:sz w:val="18"/>
                <w:szCs w:val="18"/>
              </w:rPr>
              <w:t>senioři 65+</w:t>
            </w:r>
          </w:p>
        </w:tc>
        <w:tc>
          <w:tcPr>
            <w:tcW w:w="1678" w:type="dxa"/>
            <w:shd w:val="clear" w:color="auto" w:fill="E2EFD9" w:themeFill="accent6"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shd w:val="clear" w:color="auto" w:fill="E2EFD9" w:themeFill="accent6"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shd w:val="clear" w:color="auto" w:fill="E2EFD9" w:themeFill="accent6" w:themeFillTint="33"/>
          </w:tcPr>
          <w:p w:rsidR="00D15BF5" w:rsidRPr="00D3217C" w:rsidRDefault="00D15BF5" w:rsidP="00D3217C">
            <w:pPr>
              <w:spacing w:after="120"/>
              <w:jc w:val="center"/>
              <w:rPr>
                <w:rFonts w:ascii="Arial" w:hAnsi="Arial" w:cs="Arial"/>
                <w:sz w:val="18"/>
                <w:szCs w:val="18"/>
              </w:rPr>
            </w:pPr>
            <w:r w:rsidRPr="00D3217C">
              <w:rPr>
                <w:rFonts w:ascii="Arial" w:hAnsi="Arial" w:cs="Arial"/>
                <w:b/>
                <w:color w:val="C00000"/>
                <w:sz w:val="18"/>
                <w:szCs w:val="18"/>
              </w:rPr>
              <w:t>50</w:t>
            </w:r>
            <w:r w:rsidRPr="00D3217C">
              <w:rPr>
                <w:rFonts w:ascii="Arial" w:hAnsi="Arial" w:cs="Arial"/>
                <w:sz w:val="18"/>
                <w:szCs w:val="18"/>
              </w:rPr>
              <w:t xml:space="preserve">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w:t>
            </w:r>
          </w:p>
        </w:tc>
      </w:tr>
      <w:tr w:rsidR="00D15BF5" w:rsidRPr="00D3217C" w:rsidTr="00D3217C">
        <w:tc>
          <w:tcPr>
            <w:tcW w:w="1778" w:type="dxa"/>
          </w:tcPr>
          <w:p w:rsidR="00D15BF5" w:rsidRPr="00D3217C" w:rsidRDefault="00D15BF5" w:rsidP="00D3217C">
            <w:pPr>
              <w:spacing w:after="120"/>
              <w:ind w:left="171"/>
              <w:rPr>
                <w:rFonts w:ascii="Arial" w:hAnsi="Arial" w:cs="Arial"/>
                <w:sz w:val="18"/>
                <w:szCs w:val="18"/>
              </w:rPr>
            </w:pPr>
            <w:r w:rsidRPr="00D3217C">
              <w:rPr>
                <w:rFonts w:ascii="Arial" w:hAnsi="Arial" w:cs="Arial"/>
                <w:sz w:val="18"/>
                <w:szCs w:val="18"/>
              </w:rPr>
              <w:t>ZTP, ZTP/P</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75 %*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75 %*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75 %*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w:t>
            </w:r>
          </w:p>
        </w:tc>
      </w:tr>
      <w:tr w:rsidR="00D15BF5" w:rsidRPr="00D3217C" w:rsidTr="00D3217C">
        <w:tc>
          <w:tcPr>
            <w:tcW w:w="1778" w:type="dxa"/>
          </w:tcPr>
          <w:p w:rsidR="00D15BF5" w:rsidRPr="00D3217C" w:rsidRDefault="00D15BF5" w:rsidP="00D3217C">
            <w:pPr>
              <w:spacing w:after="120"/>
              <w:ind w:left="171"/>
              <w:rPr>
                <w:rFonts w:ascii="Arial" w:hAnsi="Arial" w:cs="Arial"/>
                <w:sz w:val="18"/>
                <w:szCs w:val="18"/>
              </w:rPr>
            </w:pPr>
            <w:r w:rsidRPr="00D3217C">
              <w:rPr>
                <w:rFonts w:ascii="Arial" w:hAnsi="Arial" w:cs="Arial"/>
                <w:sz w:val="18"/>
                <w:szCs w:val="18"/>
              </w:rPr>
              <w:t>průvodce ZTP/P</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bezplatně*</w:t>
            </w:r>
          </w:p>
        </w:tc>
      </w:tr>
      <w:tr w:rsidR="00D15BF5" w:rsidRPr="00D3217C" w:rsidTr="00D3217C">
        <w:tc>
          <w:tcPr>
            <w:tcW w:w="1778" w:type="dxa"/>
          </w:tcPr>
          <w:p w:rsidR="00D15BF5" w:rsidRPr="00D3217C" w:rsidRDefault="00D15BF5" w:rsidP="00D3217C">
            <w:pPr>
              <w:spacing w:after="120"/>
              <w:ind w:left="171"/>
              <w:rPr>
                <w:rFonts w:ascii="Arial" w:hAnsi="Arial" w:cs="Arial"/>
                <w:sz w:val="18"/>
                <w:szCs w:val="18"/>
              </w:rPr>
            </w:pPr>
            <w:r w:rsidRPr="00D3217C">
              <w:rPr>
                <w:rFonts w:ascii="Arial" w:hAnsi="Arial" w:cs="Arial"/>
                <w:sz w:val="18"/>
                <w:szCs w:val="18"/>
              </w:rPr>
              <w:t>rodiče dětí v ústavech</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50 %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50 %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50 %</w:t>
            </w:r>
          </w:p>
        </w:tc>
        <w:tc>
          <w:tcPr>
            <w:tcW w:w="1678" w:type="dxa"/>
          </w:tcPr>
          <w:p w:rsidR="00D15BF5" w:rsidRPr="00D3217C" w:rsidRDefault="00D15BF5" w:rsidP="00D3217C">
            <w:pPr>
              <w:spacing w:after="120"/>
              <w:jc w:val="center"/>
              <w:rPr>
                <w:rFonts w:ascii="Arial" w:hAnsi="Arial" w:cs="Arial"/>
                <w:sz w:val="18"/>
                <w:szCs w:val="18"/>
              </w:rPr>
            </w:pPr>
            <w:r w:rsidRPr="00D3217C">
              <w:rPr>
                <w:rFonts w:ascii="Arial" w:hAnsi="Arial" w:cs="Arial"/>
                <w:sz w:val="18"/>
                <w:szCs w:val="18"/>
              </w:rPr>
              <w:t>---</w:t>
            </w:r>
          </w:p>
        </w:tc>
      </w:tr>
    </w:tbl>
    <w:p w:rsidR="00D15BF5" w:rsidRPr="00D3217C" w:rsidRDefault="00D15BF5" w:rsidP="00D3217C">
      <w:pPr>
        <w:spacing w:after="120" w:line="240" w:lineRule="auto"/>
        <w:ind w:left="567"/>
        <w:jc w:val="both"/>
        <w:rPr>
          <w:rFonts w:ascii="Arial" w:hAnsi="Arial" w:cs="Arial"/>
          <w:i/>
          <w:sz w:val="18"/>
          <w:szCs w:val="18"/>
        </w:rPr>
      </w:pPr>
      <w:r w:rsidRPr="00D3217C">
        <w:rPr>
          <w:rFonts w:ascii="Arial" w:hAnsi="Arial" w:cs="Arial"/>
          <w:i/>
          <w:sz w:val="18"/>
          <w:szCs w:val="18"/>
        </w:rPr>
        <w:t>* nárok vyplývá za zákona o poskytování dávek osobám se zdravotním postižením</w:t>
      </w:r>
    </w:p>
    <w:p w:rsidR="00D15BF5" w:rsidRPr="00D3217C" w:rsidRDefault="00D15BF5" w:rsidP="00D15BF5">
      <w:pPr>
        <w:pStyle w:val="Odstavecseseznamem"/>
        <w:numPr>
          <w:ilvl w:val="0"/>
          <w:numId w:val="10"/>
        </w:numPr>
        <w:spacing w:after="120" w:line="240" w:lineRule="auto"/>
        <w:ind w:left="567" w:hanging="567"/>
        <w:contextualSpacing w:val="0"/>
        <w:jc w:val="both"/>
        <w:rPr>
          <w:rFonts w:ascii="Arial" w:hAnsi="Arial" w:cs="Arial"/>
        </w:rPr>
      </w:pPr>
      <w:r w:rsidRPr="00D3217C">
        <w:rPr>
          <w:rFonts w:ascii="Arial" w:hAnsi="Arial" w:cs="Arial"/>
        </w:rPr>
        <w:t>Dopady pro státní rozpočet opět vyplývají z tabulek uvedených v části 2.3 tohoto materiálu. Tyto hodnoty jsou p</w:t>
      </w:r>
      <w:r w:rsidR="00BA067F" w:rsidRPr="00D3217C">
        <w:rPr>
          <w:rFonts w:ascii="Arial" w:hAnsi="Arial" w:cs="Arial"/>
        </w:rPr>
        <w:t>řehledně uvedeny v tabulce č. 14</w:t>
      </w:r>
      <w:r w:rsidRPr="00D3217C">
        <w:rPr>
          <w:rFonts w:ascii="Arial" w:hAnsi="Arial" w:cs="Arial"/>
        </w:rPr>
        <w:t>; v této tabulce jsou pro oba scénáře převzaty příslušné hodnoty pro jedn</w:t>
      </w:r>
      <w:r w:rsidR="00BA067F" w:rsidRPr="00D3217C">
        <w:rPr>
          <w:rFonts w:ascii="Arial" w:hAnsi="Arial" w:cs="Arial"/>
        </w:rPr>
        <w:t>otlivé úpravy slev ze 75 % na 50</w:t>
      </w:r>
      <w:r w:rsidRPr="00D3217C">
        <w:rPr>
          <w:rFonts w:ascii="Arial" w:hAnsi="Arial" w:cs="Arial"/>
        </w:rPr>
        <w:t xml:space="preserve"> %. V takovém případě je rozpětí úspor oproti situaci, kdy by slevy zůstaly v současné výši, odhadován pro státní rozpočet na </w:t>
      </w:r>
      <w:r w:rsidR="00BA067F" w:rsidRPr="00D3217C">
        <w:rPr>
          <w:rFonts w:ascii="Arial" w:hAnsi="Arial" w:cs="Arial"/>
        </w:rPr>
        <w:t>1,1</w:t>
      </w:r>
      <w:r w:rsidRPr="00D3217C">
        <w:rPr>
          <w:rFonts w:ascii="Arial" w:hAnsi="Arial" w:cs="Arial"/>
        </w:rPr>
        <w:t xml:space="preserve"> – </w:t>
      </w:r>
      <w:r w:rsidR="00BA067F" w:rsidRPr="00D3217C">
        <w:rPr>
          <w:rFonts w:ascii="Arial" w:hAnsi="Arial" w:cs="Arial"/>
        </w:rPr>
        <w:t>1,8</w:t>
      </w:r>
      <w:r w:rsidRPr="00D3217C">
        <w:rPr>
          <w:rFonts w:ascii="Arial" w:hAnsi="Arial" w:cs="Arial"/>
        </w:rPr>
        <w:t xml:space="preserve"> mld. Kč. Tak velké rozpětí odhadu je opětovně dáno velkým rozpětím odhadovaných cel</w:t>
      </w:r>
      <w:r w:rsidR="00941D43" w:rsidRPr="00D3217C">
        <w:rPr>
          <w:rFonts w:ascii="Arial" w:hAnsi="Arial" w:cs="Arial"/>
        </w:rPr>
        <w:t>k</w:t>
      </w:r>
      <w:r w:rsidRPr="00D3217C">
        <w:rPr>
          <w:rFonts w:ascii="Arial" w:hAnsi="Arial" w:cs="Arial"/>
        </w:rPr>
        <w:t>ových výnosů ve veřejné dopravě, které je v době doznívající pandemie COVID-19 zatíženo velkým rozptylem, jak bylo již podrobněji uvedeno v části 2.3 tohoto materiálu, protože neznáme elasticitu poptávky ani její celkový vývoj v době po odeznění pandemie, nebyl by přesnější odhad odpovědný.</w:t>
      </w:r>
    </w:p>
    <w:p w:rsidR="00D905A8" w:rsidRDefault="00D905A8" w:rsidP="00D3217C">
      <w:pPr>
        <w:spacing w:after="120" w:line="240" w:lineRule="auto"/>
        <w:ind w:left="567"/>
        <w:jc w:val="both"/>
        <w:rPr>
          <w:rFonts w:ascii="Arial" w:hAnsi="Arial" w:cs="Arial"/>
          <w:b/>
          <w:color w:val="002060"/>
          <w:sz w:val="18"/>
          <w:szCs w:val="18"/>
        </w:rPr>
      </w:pPr>
    </w:p>
    <w:p w:rsidR="00D905A8" w:rsidRDefault="00D905A8" w:rsidP="00D3217C">
      <w:pPr>
        <w:spacing w:after="120" w:line="240" w:lineRule="auto"/>
        <w:ind w:left="567"/>
        <w:jc w:val="both"/>
        <w:rPr>
          <w:rFonts w:ascii="Arial" w:hAnsi="Arial" w:cs="Arial"/>
          <w:b/>
          <w:color w:val="002060"/>
          <w:sz w:val="18"/>
          <w:szCs w:val="18"/>
        </w:rPr>
      </w:pPr>
    </w:p>
    <w:p w:rsidR="00D15BF5" w:rsidRPr="00D3217C" w:rsidRDefault="00BA067F" w:rsidP="00D3217C">
      <w:pPr>
        <w:spacing w:after="120" w:line="240" w:lineRule="auto"/>
        <w:ind w:left="567"/>
        <w:jc w:val="both"/>
        <w:rPr>
          <w:rFonts w:ascii="Arial" w:hAnsi="Arial" w:cs="Arial"/>
          <w:b/>
          <w:color w:val="002060"/>
          <w:sz w:val="18"/>
          <w:szCs w:val="18"/>
        </w:rPr>
      </w:pPr>
      <w:r w:rsidRPr="00D3217C">
        <w:rPr>
          <w:rFonts w:ascii="Arial" w:hAnsi="Arial" w:cs="Arial"/>
          <w:b/>
          <w:color w:val="002060"/>
          <w:sz w:val="18"/>
          <w:szCs w:val="18"/>
        </w:rPr>
        <w:t>Tab. 14</w:t>
      </w:r>
      <w:r w:rsidR="00D15BF5" w:rsidRPr="00D3217C">
        <w:rPr>
          <w:rFonts w:ascii="Arial" w:hAnsi="Arial" w:cs="Arial"/>
          <w:b/>
          <w:color w:val="002060"/>
          <w:sz w:val="18"/>
          <w:szCs w:val="18"/>
        </w:rPr>
        <w:t>: Odhadované úspory pro státní rozpočet pro variantu II</w:t>
      </w:r>
      <w:r w:rsidRPr="00D3217C">
        <w:rPr>
          <w:rFonts w:ascii="Arial" w:hAnsi="Arial" w:cs="Arial"/>
          <w:b/>
          <w:color w:val="002060"/>
          <w:sz w:val="18"/>
          <w:szCs w:val="18"/>
        </w:rPr>
        <w:t>I</w:t>
      </w:r>
      <w:r w:rsidR="00D15BF5" w:rsidRPr="00D3217C">
        <w:rPr>
          <w:rFonts w:ascii="Arial" w:hAnsi="Arial" w:cs="Arial"/>
          <w:b/>
          <w:color w:val="002060"/>
          <w:sz w:val="18"/>
          <w:szCs w:val="18"/>
        </w:rPr>
        <w:t xml:space="preserve"> doporučenou v t</w:t>
      </w:r>
      <w:r w:rsidRPr="00D3217C">
        <w:rPr>
          <w:rFonts w:ascii="Arial" w:hAnsi="Arial" w:cs="Arial"/>
          <w:b/>
          <w:color w:val="002060"/>
          <w:sz w:val="18"/>
          <w:szCs w:val="18"/>
        </w:rPr>
        <w:t>ab. 13</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559"/>
        <w:gridCol w:w="1559"/>
        <w:gridCol w:w="1559"/>
        <w:gridCol w:w="1560"/>
      </w:tblGrid>
      <w:tr w:rsidR="00D15BF5" w:rsidRPr="00D3217C" w:rsidTr="00D3217C">
        <w:trPr>
          <w:trHeight w:val="510"/>
        </w:trPr>
        <w:tc>
          <w:tcPr>
            <w:tcW w:w="2268" w:type="dxa"/>
            <w:shd w:val="clear" w:color="auto" w:fill="FFF2CC" w:themeFill="accent4" w:themeFillTint="33"/>
            <w:vAlign w:val="center"/>
            <w:hideMark/>
          </w:tcPr>
          <w:p w:rsidR="00D15BF5" w:rsidRPr="00D3217C" w:rsidRDefault="00D15BF5" w:rsidP="00941D43">
            <w:pPr>
              <w:spacing w:after="0" w:line="240" w:lineRule="auto"/>
              <w:rPr>
                <w:rFonts w:ascii="Arial" w:eastAsia="Times New Roman" w:hAnsi="Arial" w:cs="Arial"/>
                <w:b/>
                <w:sz w:val="18"/>
                <w:szCs w:val="18"/>
                <w:lang w:eastAsia="cs-CZ"/>
              </w:rPr>
            </w:pPr>
            <w:r w:rsidRPr="00D3217C">
              <w:rPr>
                <w:rFonts w:ascii="Arial" w:eastAsia="Times New Roman" w:hAnsi="Arial" w:cs="Arial"/>
                <w:b/>
                <w:sz w:val="18"/>
                <w:szCs w:val="18"/>
                <w:lang w:eastAsia="cs-CZ"/>
              </w:rPr>
              <w:t xml:space="preserve">Odhadovaná bilance pro státní rozpočet </w:t>
            </w:r>
            <w:r w:rsidRPr="00D3217C">
              <w:rPr>
                <w:rFonts w:ascii="Arial" w:eastAsia="Times New Roman" w:hAnsi="Arial" w:cs="Arial"/>
                <w:i/>
                <w:sz w:val="18"/>
                <w:szCs w:val="18"/>
                <w:lang w:eastAsia="cs-CZ"/>
              </w:rPr>
              <w:t>(mil. Kč)</w:t>
            </w:r>
          </w:p>
        </w:tc>
        <w:tc>
          <w:tcPr>
            <w:tcW w:w="3118" w:type="dxa"/>
            <w:gridSpan w:val="2"/>
            <w:shd w:val="clear" w:color="auto" w:fill="FFF2CC" w:themeFill="accent4" w:themeFillTint="33"/>
            <w:vAlign w:val="center"/>
            <w:hideMark/>
          </w:tcPr>
          <w:p w:rsidR="00D15BF5" w:rsidRPr="00D3217C" w:rsidRDefault="00D15BF5" w:rsidP="00D3217C">
            <w:pPr>
              <w:spacing w:after="0" w:line="240" w:lineRule="auto"/>
              <w:jc w:val="center"/>
              <w:rPr>
                <w:rFonts w:ascii="Arial" w:eastAsia="Times New Roman" w:hAnsi="Arial" w:cs="Arial"/>
                <w:b/>
                <w:sz w:val="18"/>
                <w:szCs w:val="18"/>
                <w:lang w:eastAsia="cs-CZ"/>
              </w:rPr>
            </w:pPr>
            <w:r w:rsidRPr="00D3217C">
              <w:rPr>
                <w:rFonts w:ascii="Arial" w:eastAsia="Times New Roman" w:hAnsi="Arial" w:cs="Arial"/>
                <w:b/>
                <w:sz w:val="18"/>
                <w:szCs w:val="18"/>
                <w:lang w:eastAsia="cs-CZ"/>
              </w:rPr>
              <w:t>Model A (přepravně optimistický)</w:t>
            </w:r>
          </w:p>
        </w:tc>
        <w:tc>
          <w:tcPr>
            <w:tcW w:w="3119" w:type="dxa"/>
            <w:gridSpan w:val="2"/>
            <w:shd w:val="clear" w:color="auto" w:fill="FFF2CC" w:themeFill="accent4" w:themeFillTint="33"/>
            <w:vAlign w:val="center"/>
          </w:tcPr>
          <w:p w:rsidR="00D15BF5" w:rsidRPr="00D3217C" w:rsidRDefault="00D15BF5" w:rsidP="00D3217C">
            <w:pPr>
              <w:spacing w:after="0" w:line="240" w:lineRule="auto"/>
              <w:jc w:val="center"/>
              <w:rPr>
                <w:rFonts w:ascii="Arial" w:eastAsia="Times New Roman" w:hAnsi="Arial" w:cs="Arial"/>
                <w:b/>
                <w:sz w:val="18"/>
                <w:szCs w:val="18"/>
                <w:lang w:eastAsia="cs-CZ"/>
              </w:rPr>
            </w:pPr>
            <w:r w:rsidRPr="00D3217C">
              <w:rPr>
                <w:rFonts w:ascii="Arial" w:eastAsia="Times New Roman" w:hAnsi="Arial" w:cs="Arial"/>
                <w:b/>
                <w:sz w:val="18"/>
                <w:szCs w:val="18"/>
                <w:lang w:eastAsia="cs-CZ"/>
              </w:rPr>
              <w:t>Model B (přepravně pesimistický)</w:t>
            </w:r>
          </w:p>
        </w:tc>
      </w:tr>
      <w:tr w:rsidR="00D15BF5" w:rsidRPr="00D3217C" w:rsidTr="00D3217C">
        <w:trPr>
          <w:trHeight w:val="300"/>
        </w:trPr>
        <w:tc>
          <w:tcPr>
            <w:tcW w:w="2268" w:type="dxa"/>
            <w:shd w:val="clear" w:color="auto" w:fill="FFF2CC" w:themeFill="accent4" w:themeFillTint="33"/>
            <w:vAlign w:val="center"/>
            <w:hideMark/>
          </w:tcPr>
          <w:p w:rsidR="00D15BF5" w:rsidRPr="00D3217C" w:rsidRDefault="00D15BF5" w:rsidP="00941D43">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Model podle tabulky 7</w:t>
            </w:r>
          </w:p>
        </w:tc>
        <w:tc>
          <w:tcPr>
            <w:tcW w:w="1559" w:type="dxa"/>
            <w:shd w:val="clear" w:color="auto" w:fill="FFF2CC" w:themeFill="accent4" w:themeFillTint="33"/>
            <w:vAlign w:val="center"/>
            <w:hideMark/>
          </w:tcPr>
          <w:p w:rsidR="00D15BF5" w:rsidRPr="00D3217C" w:rsidRDefault="00D15BF5" w:rsidP="00D3217C">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výdaj</w:t>
            </w:r>
          </w:p>
        </w:tc>
        <w:tc>
          <w:tcPr>
            <w:tcW w:w="1559" w:type="dxa"/>
            <w:shd w:val="clear" w:color="auto" w:fill="FFF2CC" w:themeFill="accent4" w:themeFillTint="33"/>
            <w:vAlign w:val="center"/>
            <w:hideMark/>
          </w:tcPr>
          <w:p w:rsidR="00D15BF5" w:rsidRPr="00D3217C" w:rsidRDefault="00D15BF5" w:rsidP="00D3217C">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úspora</w:t>
            </w:r>
          </w:p>
        </w:tc>
        <w:tc>
          <w:tcPr>
            <w:tcW w:w="1559" w:type="dxa"/>
            <w:shd w:val="clear" w:color="auto" w:fill="FFF2CC" w:themeFill="accent4" w:themeFillTint="33"/>
            <w:vAlign w:val="center"/>
          </w:tcPr>
          <w:p w:rsidR="00D15BF5" w:rsidRPr="00D3217C" w:rsidRDefault="00D15BF5" w:rsidP="00D3217C">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výdaj</w:t>
            </w:r>
          </w:p>
        </w:tc>
        <w:tc>
          <w:tcPr>
            <w:tcW w:w="1560" w:type="dxa"/>
            <w:shd w:val="clear" w:color="auto" w:fill="FFF2CC" w:themeFill="accent4" w:themeFillTint="33"/>
            <w:vAlign w:val="center"/>
          </w:tcPr>
          <w:p w:rsidR="00D15BF5" w:rsidRPr="00D3217C" w:rsidRDefault="00D15BF5" w:rsidP="00D3217C">
            <w:pPr>
              <w:spacing w:after="0" w:line="240" w:lineRule="auto"/>
              <w:jc w:val="center"/>
              <w:rPr>
                <w:rFonts w:ascii="Arial" w:eastAsia="Times New Roman" w:hAnsi="Arial" w:cs="Arial"/>
                <w:sz w:val="18"/>
                <w:szCs w:val="18"/>
                <w:lang w:eastAsia="cs-CZ"/>
              </w:rPr>
            </w:pPr>
            <w:r w:rsidRPr="00D3217C">
              <w:rPr>
                <w:rFonts w:ascii="Arial" w:eastAsia="Times New Roman" w:hAnsi="Arial" w:cs="Arial"/>
                <w:sz w:val="18"/>
                <w:szCs w:val="18"/>
                <w:lang w:eastAsia="cs-CZ"/>
              </w:rPr>
              <w:t>úspora</w:t>
            </w:r>
          </w:p>
        </w:tc>
      </w:tr>
      <w:tr w:rsidR="00BA067F" w:rsidRPr="00D3217C" w:rsidTr="00D3217C">
        <w:trPr>
          <w:trHeight w:val="300"/>
        </w:trPr>
        <w:tc>
          <w:tcPr>
            <w:tcW w:w="2268" w:type="dxa"/>
            <w:shd w:val="clear" w:color="000000" w:fill="FFFFFF"/>
            <w:vAlign w:val="center"/>
            <w:hideMark/>
          </w:tcPr>
          <w:p w:rsidR="00BA067F" w:rsidRPr="00D3217C" w:rsidRDefault="00E24EC4" w:rsidP="00BA067F">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Dítě/žák, sleva 50</w:t>
            </w:r>
            <w:r w:rsidR="00BA067F" w:rsidRPr="00D3217C">
              <w:rPr>
                <w:rFonts w:ascii="Arial" w:eastAsia="Times New Roman" w:hAnsi="Arial" w:cs="Arial"/>
                <w:sz w:val="18"/>
                <w:szCs w:val="18"/>
                <w:lang w:eastAsia="cs-CZ"/>
              </w:rPr>
              <w:t xml:space="preserve"> %</w:t>
            </w:r>
          </w:p>
        </w:tc>
        <w:tc>
          <w:tcPr>
            <w:tcW w:w="1559"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1 470,5</w:t>
            </w:r>
          </w:p>
        </w:tc>
        <w:tc>
          <w:tcPr>
            <w:tcW w:w="1559"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735,3</w:t>
            </w:r>
          </w:p>
        </w:tc>
        <w:tc>
          <w:tcPr>
            <w:tcW w:w="1559"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840,8</w:t>
            </w:r>
          </w:p>
        </w:tc>
        <w:tc>
          <w:tcPr>
            <w:tcW w:w="1560"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420,4</w:t>
            </w:r>
          </w:p>
        </w:tc>
      </w:tr>
      <w:tr w:rsidR="00BA067F" w:rsidRPr="00D3217C" w:rsidTr="00D3217C">
        <w:trPr>
          <w:trHeight w:val="300"/>
        </w:trPr>
        <w:tc>
          <w:tcPr>
            <w:tcW w:w="2268" w:type="dxa"/>
            <w:shd w:val="clear" w:color="000000" w:fill="FFFFFF"/>
            <w:vAlign w:val="center"/>
            <w:hideMark/>
          </w:tcPr>
          <w:p w:rsidR="00BA067F" w:rsidRPr="00D3217C" w:rsidRDefault="00E24EC4" w:rsidP="00BA067F">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Student, sleva 50</w:t>
            </w:r>
            <w:r w:rsidR="00BA067F" w:rsidRPr="00D3217C">
              <w:rPr>
                <w:rFonts w:ascii="Arial" w:eastAsia="Times New Roman" w:hAnsi="Arial" w:cs="Arial"/>
                <w:sz w:val="18"/>
                <w:szCs w:val="18"/>
                <w:lang w:eastAsia="cs-CZ"/>
              </w:rPr>
              <w:t xml:space="preserve"> %</w:t>
            </w:r>
          </w:p>
        </w:tc>
        <w:tc>
          <w:tcPr>
            <w:tcW w:w="1559"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1 431,9</w:t>
            </w:r>
          </w:p>
        </w:tc>
        <w:tc>
          <w:tcPr>
            <w:tcW w:w="1559"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716,0</w:t>
            </w:r>
          </w:p>
        </w:tc>
        <w:tc>
          <w:tcPr>
            <w:tcW w:w="1559"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924,3</w:t>
            </w:r>
          </w:p>
        </w:tc>
        <w:tc>
          <w:tcPr>
            <w:tcW w:w="1560" w:type="dxa"/>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462,2</w:t>
            </w:r>
          </w:p>
        </w:tc>
      </w:tr>
      <w:tr w:rsidR="00BA067F" w:rsidRPr="00D3217C" w:rsidTr="00D3217C">
        <w:trPr>
          <w:trHeight w:val="300"/>
        </w:trPr>
        <w:tc>
          <w:tcPr>
            <w:tcW w:w="2268" w:type="dxa"/>
            <w:tcBorders>
              <w:bottom w:val="single" w:sz="12" w:space="0" w:color="auto"/>
            </w:tcBorders>
            <w:shd w:val="clear" w:color="000000" w:fill="FFFFFF"/>
            <w:vAlign w:val="center"/>
            <w:hideMark/>
          </w:tcPr>
          <w:p w:rsidR="00BA067F" w:rsidRPr="00D3217C" w:rsidRDefault="00BA067F" w:rsidP="00BA067F">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Senior 65+, sleva 50 %</w:t>
            </w:r>
          </w:p>
        </w:tc>
        <w:tc>
          <w:tcPr>
            <w:tcW w:w="1559" w:type="dxa"/>
            <w:tcBorders>
              <w:bottom w:val="single" w:sz="12" w:space="0" w:color="auto"/>
            </w:tcBorders>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861,6</w:t>
            </w:r>
          </w:p>
        </w:tc>
        <w:tc>
          <w:tcPr>
            <w:tcW w:w="1559" w:type="dxa"/>
            <w:tcBorders>
              <w:bottom w:val="single" w:sz="12" w:space="0" w:color="auto"/>
            </w:tcBorders>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430,8</w:t>
            </w:r>
          </w:p>
        </w:tc>
        <w:tc>
          <w:tcPr>
            <w:tcW w:w="1559" w:type="dxa"/>
            <w:tcBorders>
              <w:bottom w:val="single" w:sz="12" w:space="0" w:color="auto"/>
            </w:tcBorders>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498,1</w:t>
            </w:r>
          </w:p>
        </w:tc>
        <w:tc>
          <w:tcPr>
            <w:tcW w:w="1560" w:type="dxa"/>
            <w:tcBorders>
              <w:bottom w:val="single" w:sz="12" w:space="0" w:color="auto"/>
            </w:tcBorders>
            <w:shd w:val="clear" w:color="000000" w:fill="FFFFFF"/>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249,0</w:t>
            </w:r>
          </w:p>
        </w:tc>
      </w:tr>
      <w:tr w:rsidR="00BA067F" w:rsidRPr="00D3217C" w:rsidTr="00D3217C">
        <w:trPr>
          <w:trHeight w:val="300"/>
        </w:trPr>
        <w:tc>
          <w:tcPr>
            <w:tcW w:w="2268" w:type="dxa"/>
            <w:tcBorders>
              <w:top w:val="single" w:sz="12" w:space="0" w:color="auto"/>
              <w:left w:val="single" w:sz="12" w:space="0" w:color="auto"/>
            </w:tcBorders>
            <w:shd w:val="clear" w:color="auto" w:fill="E2EFD9" w:themeFill="accent6" w:themeFillTint="33"/>
            <w:vAlign w:val="center"/>
            <w:hideMark/>
          </w:tcPr>
          <w:p w:rsidR="00BA067F" w:rsidRPr="00D3217C" w:rsidRDefault="00BA067F" w:rsidP="00BA067F">
            <w:pPr>
              <w:spacing w:after="0" w:line="240" w:lineRule="auto"/>
              <w:rPr>
                <w:rFonts w:ascii="Arial" w:eastAsia="Times New Roman" w:hAnsi="Arial" w:cs="Arial"/>
                <w:sz w:val="18"/>
                <w:szCs w:val="18"/>
                <w:lang w:eastAsia="cs-CZ"/>
              </w:rPr>
            </w:pPr>
            <w:r w:rsidRPr="00D3217C">
              <w:rPr>
                <w:rFonts w:ascii="Arial" w:eastAsia="Times New Roman" w:hAnsi="Arial" w:cs="Arial"/>
                <w:sz w:val="18"/>
                <w:szCs w:val="18"/>
                <w:lang w:eastAsia="cs-CZ"/>
              </w:rPr>
              <w:t>Celkem</w:t>
            </w:r>
          </w:p>
        </w:tc>
        <w:tc>
          <w:tcPr>
            <w:tcW w:w="1559" w:type="dxa"/>
            <w:tcBorders>
              <w:top w:val="single" w:sz="12" w:space="0" w:color="auto"/>
            </w:tcBorders>
            <w:shd w:val="clear" w:color="auto" w:fill="E2EFD9" w:themeFill="accent6" w:themeFillTint="33"/>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3 764,1</w:t>
            </w:r>
          </w:p>
        </w:tc>
        <w:tc>
          <w:tcPr>
            <w:tcW w:w="1559" w:type="dxa"/>
            <w:tcBorders>
              <w:top w:val="single" w:sz="12" w:space="0" w:color="auto"/>
            </w:tcBorders>
            <w:shd w:val="clear" w:color="auto" w:fill="E2EFD9" w:themeFill="accent6" w:themeFillTint="33"/>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1 882,0</w:t>
            </w:r>
          </w:p>
        </w:tc>
        <w:tc>
          <w:tcPr>
            <w:tcW w:w="1559" w:type="dxa"/>
            <w:tcBorders>
              <w:top w:val="single" w:sz="12" w:space="0" w:color="auto"/>
            </w:tcBorders>
            <w:shd w:val="clear" w:color="auto" w:fill="E2EFD9" w:themeFill="accent6" w:themeFillTint="33"/>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2 263,2</w:t>
            </w:r>
          </w:p>
        </w:tc>
        <w:tc>
          <w:tcPr>
            <w:tcW w:w="1560" w:type="dxa"/>
            <w:tcBorders>
              <w:top w:val="single" w:sz="12" w:space="0" w:color="auto"/>
              <w:right w:val="single" w:sz="12" w:space="0" w:color="auto"/>
            </w:tcBorders>
            <w:shd w:val="clear" w:color="auto" w:fill="E2EFD9" w:themeFill="accent6" w:themeFillTint="33"/>
            <w:vAlign w:val="center"/>
          </w:tcPr>
          <w:p w:rsidR="00BA067F" w:rsidRPr="00D3217C" w:rsidRDefault="00BA067F" w:rsidP="00D3217C">
            <w:pPr>
              <w:spacing w:after="0" w:line="240" w:lineRule="auto"/>
              <w:jc w:val="center"/>
              <w:rPr>
                <w:rFonts w:ascii="Arial" w:eastAsia="Times New Roman" w:hAnsi="Arial" w:cs="Arial"/>
                <w:sz w:val="18"/>
                <w:szCs w:val="18"/>
                <w:lang w:eastAsia="cs-CZ"/>
              </w:rPr>
            </w:pPr>
            <w:r w:rsidRPr="00D3217C">
              <w:rPr>
                <w:rFonts w:ascii="Arial" w:hAnsi="Arial" w:cs="Arial"/>
                <w:sz w:val="18"/>
                <w:szCs w:val="18"/>
              </w:rPr>
              <w:t>1 131,6</w:t>
            </w:r>
          </w:p>
        </w:tc>
      </w:tr>
      <w:tr w:rsidR="00BA067F" w:rsidRPr="00D3217C" w:rsidTr="00D3217C">
        <w:trPr>
          <w:trHeight w:val="300"/>
        </w:trPr>
        <w:tc>
          <w:tcPr>
            <w:tcW w:w="2268" w:type="dxa"/>
            <w:tcBorders>
              <w:left w:val="single" w:sz="12" w:space="0" w:color="auto"/>
              <w:bottom w:val="single" w:sz="12" w:space="0" w:color="auto"/>
            </w:tcBorders>
            <w:shd w:val="clear" w:color="auto" w:fill="E2EFD9" w:themeFill="accent6" w:themeFillTint="33"/>
            <w:vAlign w:val="center"/>
            <w:hideMark/>
          </w:tcPr>
          <w:p w:rsidR="00BA067F" w:rsidRPr="00D3217C" w:rsidRDefault="00BA067F" w:rsidP="00BA067F">
            <w:pPr>
              <w:spacing w:after="0" w:line="240" w:lineRule="auto"/>
              <w:rPr>
                <w:rFonts w:ascii="Arial" w:eastAsia="Times New Roman" w:hAnsi="Arial" w:cs="Arial"/>
                <w:b/>
                <w:bCs/>
                <w:sz w:val="18"/>
                <w:szCs w:val="18"/>
                <w:lang w:eastAsia="cs-CZ"/>
              </w:rPr>
            </w:pPr>
            <w:r w:rsidRPr="00D3217C">
              <w:rPr>
                <w:rFonts w:ascii="Arial" w:eastAsia="Times New Roman" w:hAnsi="Arial" w:cs="Arial"/>
                <w:b/>
                <w:bCs/>
                <w:sz w:val="18"/>
                <w:szCs w:val="18"/>
                <w:lang w:eastAsia="cs-CZ"/>
              </w:rPr>
              <w:t>Celkem vč. "tradičních" slev</w:t>
            </w:r>
          </w:p>
        </w:tc>
        <w:tc>
          <w:tcPr>
            <w:tcW w:w="1559" w:type="dxa"/>
            <w:tcBorders>
              <w:bottom w:val="single" w:sz="12" w:space="0" w:color="auto"/>
            </w:tcBorders>
            <w:shd w:val="clear" w:color="auto" w:fill="E2EFD9" w:themeFill="accent6" w:themeFillTint="33"/>
            <w:vAlign w:val="center"/>
          </w:tcPr>
          <w:p w:rsidR="00BA067F" w:rsidRPr="00D3217C" w:rsidRDefault="00BA067F" w:rsidP="00D3217C">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3 907,9</w:t>
            </w:r>
          </w:p>
        </w:tc>
        <w:tc>
          <w:tcPr>
            <w:tcW w:w="1559" w:type="dxa"/>
            <w:tcBorders>
              <w:bottom w:val="single" w:sz="12" w:space="0" w:color="auto"/>
            </w:tcBorders>
            <w:shd w:val="clear" w:color="auto" w:fill="E2EFD9" w:themeFill="accent6" w:themeFillTint="33"/>
            <w:vAlign w:val="center"/>
          </w:tcPr>
          <w:p w:rsidR="00BA067F" w:rsidRPr="00D3217C" w:rsidRDefault="00BA067F" w:rsidP="00D3217C">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1 882,0</w:t>
            </w:r>
          </w:p>
        </w:tc>
        <w:tc>
          <w:tcPr>
            <w:tcW w:w="1559" w:type="dxa"/>
            <w:tcBorders>
              <w:bottom w:val="single" w:sz="12" w:space="0" w:color="auto"/>
            </w:tcBorders>
            <w:shd w:val="clear" w:color="auto" w:fill="E2EFD9" w:themeFill="accent6" w:themeFillTint="33"/>
            <w:vAlign w:val="center"/>
          </w:tcPr>
          <w:p w:rsidR="00BA067F" w:rsidRPr="00D3217C" w:rsidRDefault="00BA067F" w:rsidP="00D3217C">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2 345,3</w:t>
            </w:r>
          </w:p>
        </w:tc>
        <w:tc>
          <w:tcPr>
            <w:tcW w:w="1560" w:type="dxa"/>
            <w:tcBorders>
              <w:bottom w:val="single" w:sz="12" w:space="0" w:color="auto"/>
              <w:right w:val="single" w:sz="12" w:space="0" w:color="auto"/>
            </w:tcBorders>
            <w:shd w:val="clear" w:color="auto" w:fill="E2EFD9" w:themeFill="accent6" w:themeFillTint="33"/>
            <w:vAlign w:val="center"/>
          </w:tcPr>
          <w:p w:rsidR="00BA067F" w:rsidRPr="00D3217C" w:rsidRDefault="00BA067F" w:rsidP="00D3217C">
            <w:pPr>
              <w:pStyle w:val="Odstavecseseznamem"/>
              <w:spacing w:after="0" w:line="240" w:lineRule="auto"/>
              <w:ind w:left="0"/>
              <w:jc w:val="center"/>
              <w:rPr>
                <w:rFonts w:ascii="Arial" w:eastAsia="Times New Roman" w:hAnsi="Arial" w:cs="Arial"/>
                <w:b/>
                <w:sz w:val="18"/>
                <w:szCs w:val="18"/>
                <w:lang w:eastAsia="cs-CZ"/>
              </w:rPr>
            </w:pPr>
            <w:r w:rsidRPr="00D3217C">
              <w:rPr>
                <w:rFonts w:ascii="Arial" w:hAnsi="Arial" w:cs="Arial"/>
                <w:b/>
                <w:sz w:val="18"/>
                <w:szCs w:val="18"/>
              </w:rPr>
              <w:t>1 131,6</w:t>
            </w:r>
          </w:p>
        </w:tc>
      </w:tr>
    </w:tbl>
    <w:p w:rsidR="00D15BF5" w:rsidRPr="00D71B79" w:rsidRDefault="00D15BF5" w:rsidP="00D15BF5">
      <w:pPr>
        <w:pStyle w:val="Odstavecseseznamem"/>
        <w:numPr>
          <w:ilvl w:val="0"/>
          <w:numId w:val="10"/>
        </w:numPr>
        <w:spacing w:before="120" w:after="120" w:line="240" w:lineRule="auto"/>
        <w:ind w:left="567" w:hanging="567"/>
        <w:contextualSpacing w:val="0"/>
        <w:jc w:val="both"/>
        <w:rPr>
          <w:rFonts w:ascii="Arial" w:hAnsi="Arial" w:cs="Arial"/>
        </w:rPr>
      </w:pPr>
      <w:r w:rsidRPr="00D71B79">
        <w:rPr>
          <w:rFonts w:ascii="Arial" w:hAnsi="Arial" w:cs="Arial"/>
        </w:rPr>
        <w:t>Pokud se týče dopadů na další zúčastněné subjekty, stejně jako v předchozí</w:t>
      </w:r>
      <w:r w:rsidR="00941D43" w:rsidRPr="00D71B79">
        <w:rPr>
          <w:rFonts w:ascii="Arial" w:hAnsi="Arial" w:cs="Arial"/>
        </w:rPr>
        <w:t>ch</w:t>
      </w:r>
      <w:r w:rsidRPr="00D71B79">
        <w:rPr>
          <w:rFonts w:ascii="Arial" w:hAnsi="Arial" w:cs="Arial"/>
        </w:rPr>
        <w:t xml:space="preserve"> variant</w:t>
      </w:r>
      <w:r w:rsidR="00941D43" w:rsidRPr="00D71B79">
        <w:rPr>
          <w:rFonts w:ascii="Arial" w:hAnsi="Arial" w:cs="Arial"/>
        </w:rPr>
        <w:t>ách</w:t>
      </w:r>
      <w:r w:rsidRPr="00D71B79">
        <w:rPr>
          <w:rFonts w:ascii="Arial" w:hAnsi="Arial" w:cs="Arial"/>
        </w:rPr>
        <w:t xml:space="preserve"> je obtížné  tyto dopady stanovit, nicméně na základě údajů z předchozích tabulek lze výdaje a úspory </w:t>
      </w:r>
      <w:r w:rsidR="00BA067F" w:rsidRPr="00D71B79">
        <w:rPr>
          <w:rFonts w:ascii="Arial" w:hAnsi="Arial" w:cs="Arial"/>
        </w:rPr>
        <w:t>uvedené v tabulce 14</w:t>
      </w:r>
      <w:r w:rsidRPr="00D71B79">
        <w:rPr>
          <w:rFonts w:ascii="Arial" w:hAnsi="Arial" w:cs="Arial"/>
        </w:rPr>
        <w:t xml:space="preserve"> odhadem rozdělit na jednotlivé oblasti provozu (Open Access, objednávka státu, objednávka kra</w:t>
      </w:r>
      <w:r w:rsidR="00BA067F" w:rsidRPr="00D71B79">
        <w:rPr>
          <w:rFonts w:ascii="Arial" w:hAnsi="Arial" w:cs="Arial"/>
        </w:rPr>
        <w:t>jů). V následující tabulce č. 15</w:t>
      </w:r>
      <w:r w:rsidRPr="00D71B79">
        <w:rPr>
          <w:rFonts w:ascii="Arial" w:hAnsi="Arial" w:cs="Arial"/>
        </w:rPr>
        <w:t xml:space="preserve"> je viditelné, že v oblasti železniční Open Access bude zkrácena platba cca o </w:t>
      </w:r>
      <w:r w:rsidR="00BA067F" w:rsidRPr="00D71B79">
        <w:rPr>
          <w:rFonts w:ascii="Arial" w:hAnsi="Arial" w:cs="Arial"/>
        </w:rPr>
        <w:t>130</w:t>
      </w:r>
      <w:r w:rsidRPr="00D71B79">
        <w:rPr>
          <w:rFonts w:ascii="Arial" w:hAnsi="Arial" w:cs="Arial"/>
        </w:rPr>
        <w:t xml:space="preserve"> – </w:t>
      </w:r>
      <w:r w:rsidR="00BA067F" w:rsidRPr="00D71B79">
        <w:rPr>
          <w:rFonts w:ascii="Arial" w:hAnsi="Arial" w:cs="Arial"/>
        </w:rPr>
        <w:t>210</w:t>
      </w:r>
      <w:r w:rsidRPr="00D71B79">
        <w:rPr>
          <w:rFonts w:ascii="Arial" w:hAnsi="Arial" w:cs="Arial"/>
        </w:rPr>
        <w:t xml:space="preserve"> mil. Kč, kraje „přijdou“ o příspěvek v souhrnné výši cca </w:t>
      </w:r>
      <w:r w:rsidR="00E24EC4" w:rsidRPr="00D71B79">
        <w:rPr>
          <w:rFonts w:ascii="Arial" w:hAnsi="Arial" w:cs="Arial"/>
        </w:rPr>
        <w:t>780</w:t>
      </w:r>
      <w:r w:rsidRPr="00D71B79">
        <w:rPr>
          <w:rFonts w:ascii="Arial" w:hAnsi="Arial" w:cs="Arial"/>
        </w:rPr>
        <w:t xml:space="preserve"> – </w:t>
      </w:r>
      <w:r w:rsidR="00E24EC4" w:rsidRPr="00D71B79">
        <w:rPr>
          <w:rFonts w:ascii="Arial" w:hAnsi="Arial" w:cs="Arial"/>
        </w:rPr>
        <w:t>1 250</w:t>
      </w:r>
      <w:r w:rsidRPr="00D71B79">
        <w:rPr>
          <w:rFonts w:ascii="Arial" w:hAnsi="Arial" w:cs="Arial"/>
        </w:rPr>
        <w:t xml:space="preserve"> mil. Kč. S</w:t>
      </w:r>
      <w:r w:rsidR="00E24EC4" w:rsidRPr="00D71B79">
        <w:rPr>
          <w:rFonts w:ascii="Arial" w:hAnsi="Arial" w:cs="Arial"/>
        </w:rPr>
        <w:t xml:space="preserve">tejně jako u jiných variant poukazujeme na to, že </w:t>
      </w:r>
      <w:r w:rsidRPr="00D71B79">
        <w:rPr>
          <w:rFonts w:ascii="Arial" w:hAnsi="Arial" w:cs="Arial"/>
        </w:rPr>
        <w:t>tuto částku lze označit pouze jako výpadek financování, nikoliv jako dopad na dopravce či kraje, neboť slevy zároveň nebudou požadovány a uplatňovány a cestující tedy budou platit vyšší jízdné než snížené hodnoty v době státních slev ve velmi vysoké výši 75 %.</w:t>
      </w:r>
    </w:p>
    <w:p w:rsidR="00D15BF5" w:rsidRPr="00D71B79" w:rsidRDefault="00BA067F" w:rsidP="00D71B79">
      <w:pPr>
        <w:spacing w:after="120" w:line="240" w:lineRule="auto"/>
        <w:ind w:left="567"/>
        <w:jc w:val="both"/>
        <w:rPr>
          <w:rFonts w:ascii="Arial" w:hAnsi="Arial" w:cs="Arial"/>
          <w:b/>
          <w:color w:val="002060"/>
          <w:sz w:val="18"/>
          <w:szCs w:val="18"/>
        </w:rPr>
      </w:pPr>
      <w:r w:rsidRPr="00D71B79">
        <w:rPr>
          <w:rFonts w:ascii="Arial" w:hAnsi="Arial" w:cs="Arial"/>
          <w:b/>
          <w:color w:val="002060"/>
          <w:sz w:val="18"/>
          <w:szCs w:val="18"/>
        </w:rPr>
        <w:t>Tab. 15</w:t>
      </w:r>
      <w:r w:rsidR="00D15BF5" w:rsidRPr="00D71B79">
        <w:rPr>
          <w:rFonts w:ascii="Arial" w:hAnsi="Arial" w:cs="Arial"/>
          <w:b/>
          <w:color w:val="002060"/>
          <w:sz w:val="18"/>
          <w:szCs w:val="18"/>
        </w:rPr>
        <w:t>: Odhadované dopady na jednotlivé oblasti podnikání pro variantu II</w:t>
      </w:r>
      <w:r w:rsidRPr="00D71B79">
        <w:rPr>
          <w:rFonts w:ascii="Arial" w:hAnsi="Arial" w:cs="Arial"/>
          <w:b/>
          <w:color w:val="002060"/>
          <w:sz w:val="18"/>
          <w:szCs w:val="18"/>
        </w:rPr>
        <w:t>I doporučenou v tab. 13</w:t>
      </w:r>
    </w:p>
    <w:tbl>
      <w:tblPr>
        <w:tblStyle w:val="Mkatabulky"/>
        <w:tblW w:w="0" w:type="auto"/>
        <w:tblInd w:w="562" w:type="dxa"/>
        <w:tblLayout w:type="fixed"/>
        <w:tblLook w:val="04A0" w:firstRow="1" w:lastRow="0" w:firstColumn="1" w:lastColumn="0" w:noHBand="0" w:noVBand="1"/>
      </w:tblPr>
      <w:tblGrid>
        <w:gridCol w:w="4395"/>
        <w:gridCol w:w="1026"/>
        <w:gridCol w:w="1026"/>
        <w:gridCol w:w="1026"/>
        <w:gridCol w:w="1027"/>
      </w:tblGrid>
      <w:tr w:rsidR="00D15BF5" w:rsidRPr="00D71B79" w:rsidTr="00D71B79">
        <w:trPr>
          <w:trHeight w:val="690"/>
        </w:trPr>
        <w:tc>
          <w:tcPr>
            <w:tcW w:w="4395" w:type="dxa"/>
            <w:shd w:val="clear" w:color="auto" w:fill="FFF2CC" w:themeFill="accent4" w:themeFillTint="33"/>
            <w:vAlign w:val="center"/>
            <w:hideMark/>
          </w:tcPr>
          <w:p w:rsidR="00D15BF5" w:rsidRPr="00D71B79" w:rsidRDefault="00D15BF5" w:rsidP="00941D43">
            <w:pPr>
              <w:rPr>
                <w:rFonts w:ascii="Arial" w:hAnsi="Arial" w:cs="Arial"/>
                <w:b/>
                <w:sz w:val="18"/>
                <w:szCs w:val="18"/>
              </w:rPr>
            </w:pPr>
            <w:r w:rsidRPr="00D71B79">
              <w:rPr>
                <w:rFonts w:ascii="Arial" w:hAnsi="Arial" w:cs="Arial"/>
                <w:b/>
                <w:sz w:val="18"/>
                <w:szCs w:val="18"/>
              </w:rPr>
              <w:t xml:space="preserve">Odhadovaná bilance podle jednotlivých objednatelů </w:t>
            </w:r>
            <w:r w:rsidRPr="00D71B79">
              <w:rPr>
                <w:rFonts w:ascii="Arial" w:hAnsi="Arial" w:cs="Arial"/>
                <w:i/>
                <w:sz w:val="18"/>
                <w:szCs w:val="18"/>
              </w:rPr>
              <w:t>(mil. Kč)</w:t>
            </w:r>
          </w:p>
        </w:tc>
        <w:tc>
          <w:tcPr>
            <w:tcW w:w="2052" w:type="dxa"/>
            <w:gridSpan w:val="2"/>
            <w:shd w:val="clear" w:color="auto" w:fill="FFF2CC" w:themeFill="accent4" w:themeFillTint="33"/>
            <w:vAlign w:val="center"/>
            <w:hideMark/>
          </w:tcPr>
          <w:p w:rsidR="00D15BF5" w:rsidRPr="00D71B79" w:rsidRDefault="00D15BF5" w:rsidP="00941D43">
            <w:pPr>
              <w:jc w:val="center"/>
              <w:rPr>
                <w:rFonts w:ascii="Arial" w:hAnsi="Arial" w:cs="Arial"/>
                <w:b/>
                <w:sz w:val="18"/>
                <w:szCs w:val="18"/>
              </w:rPr>
            </w:pPr>
            <w:r w:rsidRPr="00D71B79">
              <w:rPr>
                <w:rFonts w:ascii="Arial" w:hAnsi="Arial" w:cs="Arial"/>
                <w:b/>
                <w:sz w:val="18"/>
                <w:szCs w:val="18"/>
              </w:rPr>
              <w:t>Model A (přepravně optimistický)</w:t>
            </w:r>
          </w:p>
        </w:tc>
        <w:tc>
          <w:tcPr>
            <w:tcW w:w="2053" w:type="dxa"/>
            <w:gridSpan w:val="2"/>
            <w:shd w:val="clear" w:color="auto" w:fill="FFF2CC" w:themeFill="accent4" w:themeFillTint="33"/>
            <w:vAlign w:val="center"/>
            <w:hideMark/>
          </w:tcPr>
          <w:p w:rsidR="00D15BF5" w:rsidRPr="00D71B79" w:rsidRDefault="00D15BF5" w:rsidP="00941D43">
            <w:pPr>
              <w:jc w:val="center"/>
              <w:rPr>
                <w:rFonts w:ascii="Arial" w:hAnsi="Arial" w:cs="Arial"/>
                <w:b/>
                <w:sz w:val="18"/>
                <w:szCs w:val="18"/>
              </w:rPr>
            </w:pPr>
            <w:r w:rsidRPr="00D71B79">
              <w:rPr>
                <w:rFonts w:ascii="Arial" w:hAnsi="Arial" w:cs="Arial"/>
                <w:b/>
                <w:sz w:val="18"/>
                <w:szCs w:val="18"/>
              </w:rPr>
              <w:t>Model B (přepravně pesimistický)</w:t>
            </w:r>
          </w:p>
        </w:tc>
      </w:tr>
      <w:tr w:rsidR="00D15BF5" w:rsidRPr="00D71B79" w:rsidTr="00D71B79">
        <w:trPr>
          <w:trHeight w:val="690"/>
        </w:trPr>
        <w:tc>
          <w:tcPr>
            <w:tcW w:w="4395" w:type="dxa"/>
            <w:shd w:val="clear" w:color="auto" w:fill="FFF2CC" w:themeFill="accent4" w:themeFillTint="33"/>
            <w:vAlign w:val="center"/>
            <w:hideMark/>
          </w:tcPr>
          <w:p w:rsidR="00D15BF5" w:rsidRPr="00D71B79" w:rsidRDefault="00D15BF5" w:rsidP="00941D43">
            <w:pPr>
              <w:rPr>
                <w:rFonts w:ascii="Arial" w:hAnsi="Arial" w:cs="Arial"/>
                <w:sz w:val="18"/>
                <w:szCs w:val="18"/>
              </w:rPr>
            </w:pPr>
            <w:r w:rsidRPr="00D71B79">
              <w:rPr>
                <w:rFonts w:ascii="Arial" w:hAnsi="Arial" w:cs="Arial"/>
                <w:sz w:val="18"/>
                <w:szCs w:val="18"/>
              </w:rPr>
              <w:t>Model podle tabulky 7</w:t>
            </w:r>
          </w:p>
        </w:tc>
        <w:tc>
          <w:tcPr>
            <w:tcW w:w="1026" w:type="dxa"/>
            <w:shd w:val="clear" w:color="auto" w:fill="FFF2CC" w:themeFill="accent4" w:themeFillTint="33"/>
            <w:vAlign w:val="center"/>
            <w:hideMark/>
          </w:tcPr>
          <w:p w:rsidR="00D15BF5" w:rsidRPr="00D71B79" w:rsidRDefault="00D15BF5" w:rsidP="00941D43">
            <w:pPr>
              <w:jc w:val="center"/>
              <w:rPr>
                <w:rFonts w:ascii="Arial" w:hAnsi="Arial" w:cs="Arial"/>
                <w:sz w:val="18"/>
                <w:szCs w:val="18"/>
              </w:rPr>
            </w:pPr>
            <w:r w:rsidRPr="00D71B79">
              <w:rPr>
                <w:rFonts w:ascii="Arial" w:hAnsi="Arial" w:cs="Arial"/>
                <w:sz w:val="18"/>
                <w:szCs w:val="18"/>
              </w:rPr>
              <w:t>výdaj</w:t>
            </w:r>
          </w:p>
        </w:tc>
        <w:tc>
          <w:tcPr>
            <w:tcW w:w="1026" w:type="dxa"/>
            <w:shd w:val="clear" w:color="auto" w:fill="FFF2CC" w:themeFill="accent4" w:themeFillTint="33"/>
            <w:vAlign w:val="center"/>
            <w:hideMark/>
          </w:tcPr>
          <w:p w:rsidR="00D15BF5" w:rsidRPr="00D71B79" w:rsidRDefault="00D15BF5" w:rsidP="00941D43">
            <w:pPr>
              <w:jc w:val="center"/>
              <w:rPr>
                <w:rFonts w:ascii="Arial" w:hAnsi="Arial" w:cs="Arial"/>
                <w:sz w:val="18"/>
                <w:szCs w:val="18"/>
              </w:rPr>
            </w:pPr>
            <w:r w:rsidRPr="00D71B79">
              <w:rPr>
                <w:rFonts w:ascii="Arial" w:hAnsi="Arial" w:cs="Arial"/>
                <w:sz w:val="18"/>
                <w:szCs w:val="18"/>
              </w:rPr>
              <w:t>úspora</w:t>
            </w:r>
          </w:p>
        </w:tc>
        <w:tc>
          <w:tcPr>
            <w:tcW w:w="1026" w:type="dxa"/>
            <w:shd w:val="clear" w:color="auto" w:fill="FFF2CC" w:themeFill="accent4" w:themeFillTint="33"/>
            <w:vAlign w:val="center"/>
            <w:hideMark/>
          </w:tcPr>
          <w:p w:rsidR="00D15BF5" w:rsidRPr="00D71B79" w:rsidRDefault="00D15BF5" w:rsidP="00941D43">
            <w:pPr>
              <w:jc w:val="center"/>
              <w:rPr>
                <w:rFonts w:ascii="Arial" w:hAnsi="Arial" w:cs="Arial"/>
                <w:sz w:val="18"/>
                <w:szCs w:val="18"/>
              </w:rPr>
            </w:pPr>
            <w:r w:rsidRPr="00D71B79">
              <w:rPr>
                <w:rFonts w:ascii="Arial" w:hAnsi="Arial" w:cs="Arial"/>
                <w:sz w:val="18"/>
                <w:szCs w:val="18"/>
              </w:rPr>
              <w:t>výdaj</w:t>
            </w:r>
          </w:p>
        </w:tc>
        <w:tc>
          <w:tcPr>
            <w:tcW w:w="1027" w:type="dxa"/>
            <w:shd w:val="clear" w:color="auto" w:fill="FFF2CC" w:themeFill="accent4" w:themeFillTint="33"/>
            <w:vAlign w:val="center"/>
            <w:hideMark/>
          </w:tcPr>
          <w:p w:rsidR="00D15BF5" w:rsidRPr="00D71B79" w:rsidRDefault="00D15BF5" w:rsidP="00941D43">
            <w:pPr>
              <w:jc w:val="center"/>
              <w:rPr>
                <w:rFonts w:ascii="Arial" w:hAnsi="Arial" w:cs="Arial"/>
                <w:sz w:val="18"/>
                <w:szCs w:val="18"/>
              </w:rPr>
            </w:pPr>
            <w:r w:rsidRPr="00D71B79">
              <w:rPr>
                <w:rFonts w:ascii="Arial" w:hAnsi="Arial" w:cs="Arial"/>
                <w:sz w:val="18"/>
                <w:szCs w:val="18"/>
              </w:rPr>
              <w:t>úspora</w:t>
            </w:r>
          </w:p>
        </w:tc>
      </w:tr>
      <w:tr w:rsidR="00BA067F" w:rsidRPr="00D71B79" w:rsidTr="00D71B79">
        <w:trPr>
          <w:trHeight w:val="300"/>
        </w:trPr>
        <w:tc>
          <w:tcPr>
            <w:tcW w:w="4395" w:type="dxa"/>
            <w:noWrap/>
            <w:vAlign w:val="center"/>
            <w:hideMark/>
          </w:tcPr>
          <w:p w:rsidR="00BA067F" w:rsidRPr="00D71B79" w:rsidRDefault="00BA067F" w:rsidP="00BA067F">
            <w:pPr>
              <w:rPr>
                <w:rFonts w:ascii="Arial" w:hAnsi="Arial" w:cs="Arial"/>
                <w:b/>
                <w:sz w:val="18"/>
                <w:szCs w:val="18"/>
              </w:rPr>
            </w:pPr>
            <w:r w:rsidRPr="00D71B79">
              <w:rPr>
                <w:rFonts w:ascii="Arial" w:hAnsi="Arial" w:cs="Arial"/>
                <w:b/>
                <w:sz w:val="18"/>
                <w:szCs w:val="18"/>
              </w:rPr>
              <w:t>Železniční doprava - úhrada v roce 2019</w:t>
            </w:r>
          </w:p>
        </w:tc>
        <w:tc>
          <w:tcPr>
            <w:tcW w:w="1026" w:type="dxa"/>
            <w:noWrap/>
          </w:tcPr>
          <w:p w:rsidR="00BA067F" w:rsidRPr="00D71B79" w:rsidRDefault="00BA067F" w:rsidP="00BA067F">
            <w:pPr>
              <w:jc w:val="center"/>
              <w:rPr>
                <w:rFonts w:ascii="Arial" w:hAnsi="Arial" w:cs="Arial"/>
                <w:b/>
                <w:sz w:val="18"/>
                <w:szCs w:val="18"/>
              </w:rPr>
            </w:pPr>
            <w:r w:rsidRPr="00D71B79">
              <w:rPr>
                <w:rFonts w:ascii="Arial" w:hAnsi="Arial" w:cs="Arial"/>
                <w:b/>
                <w:sz w:val="18"/>
                <w:szCs w:val="18"/>
              </w:rPr>
              <w:t>3 147,1</w:t>
            </w:r>
          </w:p>
        </w:tc>
        <w:tc>
          <w:tcPr>
            <w:tcW w:w="1026" w:type="dxa"/>
            <w:noWrap/>
          </w:tcPr>
          <w:p w:rsidR="00BA067F" w:rsidRPr="00D71B79" w:rsidRDefault="00BA067F" w:rsidP="00BA067F">
            <w:pPr>
              <w:jc w:val="center"/>
              <w:rPr>
                <w:rFonts w:ascii="Arial" w:hAnsi="Arial" w:cs="Arial"/>
                <w:b/>
                <w:sz w:val="18"/>
                <w:szCs w:val="18"/>
              </w:rPr>
            </w:pPr>
          </w:p>
        </w:tc>
        <w:tc>
          <w:tcPr>
            <w:tcW w:w="1026" w:type="dxa"/>
            <w:noWrap/>
          </w:tcPr>
          <w:p w:rsidR="00BA067F" w:rsidRPr="00D71B79" w:rsidRDefault="00BA067F" w:rsidP="00BA067F">
            <w:pPr>
              <w:jc w:val="center"/>
              <w:rPr>
                <w:rFonts w:ascii="Arial" w:hAnsi="Arial" w:cs="Arial"/>
                <w:b/>
                <w:sz w:val="18"/>
                <w:szCs w:val="18"/>
              </w:rPr>
            </w:pPr>
            <w:r w:rsidRPr="00D71B79">
              <w:rPr>
                <w:rFonts w:ascii="Arial" w:hAnsi="Arial" w:cs="Arial"/>
                <w:b/>
                <w:sz w:val="18"/>
                <w:szCs w:val="18"/>
              </w:rPr>
              <w:t>1 953,3</w:t>
            </w:r>
          </w:p>
        </w:tc>
        <w:tc>
          <w:tcPr>
            <w:tcW w:w="1027" w:type="dxa"/>
            <w:noWrap/>
          </w:tcPr>
          <w:p w:rsidR="00BA067F" w:rsidRPr="00D71B79" w:rsidRDefault="00BA067F" w:rsidP="00BA067F">
            <w:pPr>
              <w:jc w:val="center"/>
              <w:rPr>
                <w:rFonts w:ascii="Arial" w:hAnsi="Arial" w:cs="Arial"/>
                <w:b/>
                <w:sz w:val="18"/>
                <w:szCs w:val="18"/>
              </w:rPr>
            </w:pPr>
          </w:p>
        </w:tc>
      </w:tr>
      <w:tr w:rsidR="00BA067F" w:rsidRPr="00D71B79" w:rsidTr="00D71B79">
        <w:trPr>
          <w:trHeight w:val="300"/>
        </w:trPr>
        <w:tc>
          <w:tcPr>
            <w:tcW w:w="4395" w:type="dxa"/>
            <w:noWrap/>
            <w:vAlign w:val="center"/>
            <w:hideMark/>
          </w:tcPr>
          <w:p w:rsidR="00BA067F" w:rsidRPr="00D71B79" w:rsidRDefault="00BA067F" w:rsidP="00BA067F">
            <w:pPr>
              <w:rPr>
                <w:rFonts w:ascii="Arial" w:hAnsi="Arial" w:cs="Arial"/>
                <w:b/>
                <w:sz w:val="18"/>
                <w:szCs w:val="18"/>
              </w:rPr>
            </w:pPr>
            <w:r w:rsidRPr="00D71B79">
              <w:rPr>
                <w:rFonts w:ascii="Arial" w:hAnsi="Arial" w:cs="Arial"/>
                <w:b/>
                <w:sz w:val="18"/>
                <w:szCs w:val="18"/>
              </w:rPr>
              <w:t xml:space="preserve">Přepočet na jednotlivé výhledové modely </w:t>
            </w:r>
          </w:p>
        </w:tc>
        <w:tc>
          <w:tcPr>
            <w:tcW w:w="1026" w:type="dxa"/>
            <w:noWrap/>
          </w:tcPr>
          <w:p w:rsidR="00BA067F" w:rsidRPr="00D71B79" w:rsidRDefault="00BA067F" w:rsidP="00BA067F">
            <w:pPr>
              <w:jc w:val="center"/>
              <w:rPr>
                <w:rFonts w:ascii="Arial" w:hAnsi="Arial" w:cs="Arial"/>
                <w:b/>
                <w:bCs/>
                <w:sz w:val="18"/>
                <w:szCs w:val="18"/>
              </w:rPr>
            </w:pPr>
            <w:r w:rsidRPr="00D71B79">
              <w:rPr>
                <w:rFonts w:ascii="Arial" w:hAnsi="Arial" w:cs="Arial"/>
                <w:b/>
                <w:sz w:val="18"/>
                <w:szCs w:val="18"/>
              </w:rPr>
              <w:t>2 124,1</w:t>
            </w:r>
          </w:p>
        </w:tc>
        <w:tc>
          <w:tcPr>
            <w:tcW w:w="1026" w:type="dxa"/>
            <w:noWrap/>
          </w:tcPr>
          <w:p w:rsidR="00BA067F" w:rsidRPr="00D71B79" w:rsidRDefault="00BA067F" w:rsidP="00BA067F">
            <w:pPr>
              <w:jc w:val="center"/>
              <w:rPr>
                <w:rFonts w:ascii="Arial" w:hAnsi="Arial" w:cs="Arial"/>
                <w:b/>
                <w:bCs/>
                <w:sz w:val="18"/>
                <w:szCs w:val="18"/>
              </w:rPr>
            </w:pPr>
            <w:r w:rsidRPr="00D71B79">
              <w:rPr>
                <w:rFonts w:ascii="Arial" w:hAnsi="Arial" w:cs="Arial"/>
                <w:b/>
                <w:sz w:val="18"/>
                <w:szCs w:val="18"/>
              </w:rPr>
              <w:t>1 023,0</w:t>
            </w:r>
          </w:p>
        </w:tc>
        <w:tc>
          <w:tcPr>
            <w:tcW w:w="1026" w:type="dxa"/>
            <w:noWrap/>
          </w:tcPr>
          <w:p w:rsidR="00BA067F" w:rsidRPr="00D71B79" w:rsidRDefault="00BA067F" w:rsidP="00BA067F">
            <w:pPr>
              <w:jc w:val="center"/>
              <w:rPr>
                <w:rFonts w:ascii="Arial" w:hAnsi="Arial" w:cs="Arial"/>
                <w:b/>
                <w:bCs/>
                <w:sz w:val="18"/>
                <w:szCs w:val="18"/>
              </w:rPr>
            </w:pPr>
            <w:r w:rsidRPr="00D71B79">
              <w:rPr>
                <w:rFonts w:ascii="Arial" w:hAnsi="Arial" w:cs="Arial"/>
                <w:b/>
                <w:sz w:val="18"/>
                <w:szCs w:val="18"/>
              </w:rPr>
              <w:t>1 317,6</w:t>
            </w:r>
          </w:p>
        </w:tc>
        <w:tc>
          <w:tcPr>
            <w:tcW w:w="1027" w:type="dxa"/>
            <w:noWrap/>
          </w:tcPr>
          <w:p w:rsidR="00BA067F" w:rsidRPr="00D71B79" w:rsidRDefault="00BA067F" w:rsidP="00BA067F">
            <w:pPr>
              <w:jc w:val="center"/>
              <w:rPr>
                <w:rFonts w:ascii="Arial" w:hAnsi="Arial" w:cs="Arial"/>
                <w:b/>
                <w:sz w:val="18"/>
                <w:szCs w:val="18"/>
              </w:rPr>
            </w:pPr>
            <w:r w:rsidRPr="00D71B79">
              <w:rPr>
                <w:rFonts w:ascii="Arial" w:hAnsi="Arial" w:cs="Arial"/>
                <w:b/>
                <w:sz w:val="18"/>
                <w:szCs w:val="18"/>
              </w:rPr>
              <w:t>635,7</w:t>
            </w:r>
          </w:p>
        </w:tc>
      </w:tr>
      <w:tr w:rsidR="00BA067F" w:rsidRPr="00D71B79" w:rsidTr="00D71B79">
        <w:trPr>
          <w:trHeight w:val="300"/>
        </w:trPr>
        <w:tc>
          <w:tcPr>
            <w:tcW w:w="4395" w:type="dxa"/>
            <w:shd w:val="clear" w:color="auto" w:fill="DEEAF6" w:themeFill="accent1" w:themeFillTint="33"/>
            <w:noWrap/>
            <w:vAlign w:val="center"/>
            <w:hideMark/>
          </w:tcPr>
          <w:p w:rsidR="00BA067F" w:rsidRPr="00D71B79" w:rsidRDefault="00BA067F" w:rsidP="00BA067F">
            <w:pPr>
              <w:rPr>
                <w:rFonts w:ascii="Arial" w:hAnsi="Arial" w:cs="Arial"/>
                <w:sz w:val="18"/>
                <w:szCs w:val="18"/>
              </w:rPr>
            </w:pPr>
            <w:r w:rsidRPr="00D71B79">
              <w:rPr>
                <w:rFonts w:ascii="Arial" w:hAnsi="Arial" w:cs="Arial"/>
                <w:sz w:val="18"/>
                <w:szCs w:val="18"/>
              </w:rPr>
              <w:t>Open Access</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432,7</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208,4</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277,2</w:t>
            </w:r>
          </w:p>
        </w:tc>
        <w:tc>
          <w:tcPr>
            <w:tcW w:w="1027"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133,7</w:t>
            </w:r>
          </w:p>
        </w:tc>
      </w:tr>
      <w:tr w:rsidR="00BA067F" w:rsidRPr="00D71B79" w:rsidTr="00D71B79">
        <w:trPr>
          <w:trHeight w:val="300"/>
        </w:trPr>
        <w:tc>
          <w:tcPr>
            <w:tcW w:w="4395" w:type="dxa"/>
            <w:shd w:val="clear" w:color="auto" w:fill="DEEAF6" w:themeFill="accent1" w:themeFillTint="33"/>
            <w:noWrap/>
            <w:vAlign w:val="center"/>
            <w:hideMark/>
          </w:tcPr>
          <w:p w:rsidR="00BA067F" w:rsidRPr="00D71B79" w:rsidRDefault="00BA067F" w:rsidP="00BA067F">
            <w:pPr>
              <w:rPr>
                <w:rFonts w:ascii="Arial" w:hAnsi="Arial" w:cs="Arial"/>
                <w:sz w:val="18"/>
                <w:szCs w:val="18"/>
              </w:rPr>
            </w:pPr>
            <w:r w:rsidRPr="00D71B79">
              <w:rPr>
                <w:rFonts w:ascii="Arial" w:hAnsi="Arial" w:cs="Arial"/>
                <w:sz w:val="18"/>
                <w:szCs w:val="18"/>
              </w:rPr>
              <w:t>Objednávka státu</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507,1</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244,2</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287,7</w:t>
            </w:r>
          </w:p>
        </w:tc>
        <w:tc>
          <w:tcPr>
            <w:tcW w:w="1027"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138,8</w:t>
            </w:r>
          </w:p>
        </w:tc>
      </w:tr>
      <w:tr w:rsidR="00BA067F" w:rsidRPr="00D71B79" w:rsidTr="00D71B79">
        <w:trPr>
          <w:trHeight w:val="300"/>
        </w:trPr>
        <w:tc>
          <w:tcPr>
            <w:tcW w:w="4395" w:type="dxa"/>
            <w:shd w:val="clear" w:color="auto" w:fill="DEEAF6" w:themeFill="accent1" w:themeFillTint="33"/>
            <w:noWrap/>
            <w:vAlign w:val="center"/>
            <w:hideMark/>
          </w:tcPr>
          <w:p w:rsidR="00BA067F" w:rsidRPr="00D71B79" w:rsidRDefault="00BA067F" w:rsidP="00BA067F">
            <w:pPr>
              <w:rPr>
                <w:rFonts w:ascii="Arial" w:hAnsi="Arial" w:cs="Arial"/>
                <w:sz w:val="18"/>
                <w:szCs w:val="18"/>
              </w:rPr>
            </w:pPr>
            <w:r w:rsidRPr="00D71B79">
              <w:rPr>
                <w:rFonts w:ascii="Arial" w:hAnsi="Arial" w:cs="Arial"/>
                <w:sz w:val="18"/>
                <w:szCs w:val="18"/>
              </w:rPr>
              <w:t>Objednávka krajů</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1 184,4</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570,4</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752,7</w:t>
            </w:r>
          </w:p>
        </w:tc>
        <w:tc>
          <w:tcPr>
            <w:tcW w:w="1027"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363,2</w:t>
            </w:r>
          </w:p>
        </w:tc>
      </w:tr>
      <w:tr w:rsidR="00BA067F" w:rsidRPr="00D71B79" w:rsidTr="00D71B79">
        <w:trPr>
          <w:trHeight w:val="300"/>
        </w:trPr>
        <w:tc>
          <w:tcPr>
            <w:tcW w:w="4395" w:type="dxa"/>
            <w:noWrap/>
            <w:vAlign w:val="center"/>
            <w:hideMark/>
          </w:tcPr>
          <w:p w:rsidR="00BA067F" w:rsidRPr="00D71B79" w:rsidRDefault="00BA067F" w:rsidP="00BA067F">
            <w:pPr>
              <w:rPr>
                <w:rFonts w:ascii="Arial" w:hAnsi="Arial" w:cs="Arial"/>
                <w:b/>
                <w:sz w:val="18"/>
                <w:szCs w:val="18"/>
              </w:rPr>
            </w:pPr>
            <w:r w:rsidRPr="00D71B79">
              <w:rPr>
                <w:rFonts w:ascii="Arial" w:hAnsi="Arial" w:cs="Arial"/>
                <w:b/>
                <w:sz w:val="18"/>
                <w:szCs w:val="18"/>
              </w:rPr>
              <w:t>Silniční doprava - úhrada v roce 2019</w:t>
            </w:r>
          </w:p>
        </w:tc>
        <w:tc>
          <w:tcPr>
            <w:tcW w:w="1026" w:type="dxa"/>
            <w:noWrap/>
          </w:tcPr>
          <w:p w:rsidR="00BA067F" w:rsidRPr="00D71B79" w:rsidRDefault="00BA067F" w:rsidP="00BA067F">
            <w:pPr>
              <w:jc w:val="center"/>
              <w:rPr>
                <w:rFonts w:ascii="Arial" w:hAnsi="Arial" w:cs="Arial"/>
                <w:b/>
                <w:sz w:val="18"/>
                <w:szCs w:val="18"/>
              </w:rPr>
            </w:pPr>
            <w:r w:rsidRPr="00D71B79">
              <w:rPr>
                <w:rFonts w:ascii="Arial" w:hAnsi="Arial" w:cs="Arial"/>
                <w:b/>
                <w:sz w:val="18"/>
                <w:szCs w:val="18"/>
              </w:rPr>
              <w:t>2 642,8</w:t>
            </w:r>
          </w:p>
        </w:tc>
        <w:tc>
          <w:tcPr>
            <w:tcW w:w="1026" w:type="dxa"/>
            <w:noWrap/>
          </w:tcPr>
          <w:p w:rsidR="00BA067F" w:rsidRPr="00D71B79" w:rsidRDefault="00BA067F" w:rsidP="00BA067F">
            <w:pPr>
              <w:jc w:val="center"/>
              <w:rPr>
                <w:rFonts w:ascii="Arial" w:hAnsi="Arial" w:cs="Arial"/>
                <w:b/>
                <w:sz w:val="18"/>
                <w:szCs w:val="18"/>
              </w:rPr>
            </w:pPr>
          </w:p>
        </w:tc>
        <w:tc>
          <w:tcPr>
            <w:tcW w:w="1026" w:type="dxa"/>
            <w:noWrap/>
          </w:tcPr>
          <w:p w:rsidR="00BA067F" w:rsidRPr="00D71B79" w:rsidRDefault="00BA067F" w:rsidP="00BA067F">
            <w:pPr>
              <w:jc w:val="center"/>
              <w:rPr>
                <w:rFonts w:ascii="Arial" w:hAnsi="Arial" w:cs="Arial"/>
                <w:b/>
                <w:sz w:val="18"/>
                <w:szCs w:val="18"/>
              </w:rPr>
            </w:pPr>
            <w:r w:rsidRPr="00D71B79">
              <w:rPr>
                <w:rFonts w:ascii="Arial" w:hAnsi="Arial" w:cs="Arial"/>
                <w:b/>
                <w:sz w:val="18"/>
                <w:szCs w:val="18"/>
              </w:rPr>
              <w:t>1 523,6</w:t>
            </w:r>
          </w:p>
        </w:tc>
        <w:tc>
          <w:tcPr>
            <w:tcW w:w="1027" w:type="dxa"/>
            <w:noWrap/>
          </w:tcPr>
          <w:p w:rsidR="00BA067F" w:rsidRPr="00D71B79" w:rsidRDefault="00BA067F" w:rsidP="00BA067F">
            <w:pPr>
              <w:jc w:val="center"/>
              <w:rPr>
                <w:rFonts w:ascii="Arial" w:hAnsi="Arial" w:cs="Arial"/>
                <w:b/>
                <w:sz w:val="18"/>
                <w:szCs w:val="18"/>
              </w:rPr>
            </w:pPr>
          </w:p>
        </w:tc>
      </w:tr>
      <w:tr w:rsidR="00BA067F" w:rsidRPr="00D71B79" w:rsidTr="00D71B79">
        <w:trPr>
          <w:trHeight w:val="300"/>
        </w:trPr>
        <w:tc>
          <w:tcPr>
            <w:tcW w:w="4395" w:type="dxa"/>
            <w:noWrap/>
            <w:vAlign w:val="center"/>
            <w:hideMark/>
          </w:tcPr>
          <w:p w:rsidR="00BA067F" w:rsidRPr="00D71B79" w:rsidRDefault="00BA067F" w:rsidP="00BA067F">
            <w:pPr>
              <w:rPr>
                <w:rFonts w:ascii="Arial" w:hAnsi="Arial" w:cs="Arial"/>
                <w:b/>
                <w:sz w:val="18"/>
                <w:szCs w:val="18"/>
              </w:rPr>
            </w:pPr>
            <w:r w:rsidRPr="00D71B79">
              <w:rPr>
                <w:rFonts w:ascii="Arial" w:hAnsi="Arial" w:cs="Arial"/>
                <w:b/>
                <w:sz w:val="18"/>
                <w:szCs w:val="18"/>
              </w:rPr>
              <w:t xml:space="preserve">Přepočet na jednotlivé výhledové modely </w:t>
            </w:r>
          </w:p>
        </w:tc>
        <w:tc>
          <w:tcPr>
            <w:tcW w:w="1026" w:type="dxa"/>
            <w:noWrap/>
          </w:tcPr>
          <w:p w:rsidR="00BA067F" w:rsidRPr="00D71B79" w:rsidRDefault="00BA067F" w:rsidP="00BA067F">
            <w:pPr>
              <w:jc w:val="center"/>
              <w:rPr>
                <w:rFonts w:ascii="Arial" w:hAnsi="Arial" w:cs="Arial"/>
                <w:b/>
                <w:bCs/>
                <w:sz w:val="18"/>
                <w:szCs w:val="18"/>
              </w:rPr>
            </w:pPr>
            <w:r w:rsidRPr="00D71B79">
              <w:rPr>
                <w:rFonts w:ascii="Arial" w:hAnsi="Arial" w:cs="Arial"/>
                <w:b/>
                <w:sz w:val="18"/>
                <w:szCs w:val="18"/>
              </w:rPr>
              <w:t>1 783,7</w:t>
            </w:r>
          </w:p>
        </w:tc>
        <w:tc>
          <w:tcPr>
            <w:tcW w:w="1026" w:type="dxa"/>
            <w:noWrap/>
          </w:tcPr>
          <w:p w:rsidR="00BA067F" w:rsidRPr="00D71B79" w:rsidRDefault="00BA067F" w:rsidP="00BA067F">
            <w:pPr>
              <w:jc w:val="center"/>
              <w:rPr>
                <w:rFonts w:ascii="Arial" w:hAnsi="Arial" w:cs="Arial"/>
                <w:b/>
                <w:bCs/>
                <w:sz w:val="18"/>
                <w:szCs w:val="18"/>
              </w:rPr>
            </w:pPr>
            <w:r w:rsidRPr="00D71B79">
              <w:rPr>
                <w:rFonts w:ascii="Arial" w:hAnsi="Arial" w:cs="Arial"/>
                <w:b/>
                <w:sz w:val="18"/>
                <w:szCs w:val="18"/>
              </w:rPr>
              <w:t>859,0</w:t>
            </w:r>
          </w:p>
        </w:tc>
        <w:tc>
          <w:tcPr>
            <w:tcW w:w="1026" w:type="dxa"/>
            <w:noWrap/>
          </w:tcPr>
          <w:p w:rsidR="00BA067F" w:rsidRPr="00D71B79" w:rsidRDefault="00BA067F" w:rsidP="00BA067F">
            <w:pPr>
              <w:jc w:val="center"/>
              <w:rPr>
                <w:rFonts w:ascii="Arial" w:hAnsi="Arial" w:cs="Arial"/>
                <w:b/>
                <w:bCs/>
                <w:sz w:val="18"/>
                <w:szCs w:val="18"/>
              </w:rPr>
            </w:pPr>
            <w:r w:rsidRPr="00D71B79">
              <w:rPr>
                <w:rFonts w:ascii="Arial" w:hAnsi="Arial" w:cs="Arial"/>
                <w:b/>
                <w:sz w:val="18"/>
                <w:szCs w:val="18"/>
              </w:rPr>
              <w:t>1 027,8</w:t>
            </w:r>
          </w:p>
        </w:tc>
        <w:tc>
          <w:tcPr>
            <w:tcW w:w="1027" w:type="dxa"/>
            <w:noWrap/>
          </w:tcPr>
          <w:p w:rsidR="00BA067F" w:rsidRPr="00D71B79" w:rsidRDefault="00BA067F" w:rsidP="00BA067F">
            <w:pPr>
              <w:jc w:val="center"/>
              <w:rPr>
                <w:rFonts w:ascii="Arial" w:hAnsi="Arial" w:cs="Arial"/>
                <w:b/>
                <w:sz w:val="18"/>
                <w:szCs w:val="18"/>
              </w:rPr>
            </w:pPr>
            <w:r w:rsidRPr="00D71B79">
              <w:rPr>
                <w:rFonts w:ascii="Arial" w:hAnsi="Arial" w:cs="Arial"/>
                <w:b/>
                <w:sz w:val="18"/>
                <w:szCs w:val="18"/>
              </w:rPr>
              <w:t>495,9</w:t>
            </w:r>
          </w:p>
        </w:tc>
      </w:tr>
      <w:tr w:rsidR="00BA067F" w:rsidRPr="00D71B79" w:rsidTr="00D71B79">
        <w:trPr>
          <w:trHeight w:val="300"/>
        </w:trPr>
        <w:tc>
          <w:tcPr>
            <w:tcW w:w="4395" w:type="dxa"/>
            <w:shd w:val="clear" w:color="auto" w:fill="DEEAF6" w:themeFill="accent1" w:themeFillTint="33"/>
            <w:noWrap/>
            <w:vAlign w:val="center"/>
            <w:hideMark/>
          </w:tcPr>
          <w:p w:rsidR="00BA067F" w:rsidRPr="00D71B79" w:rsidRDefault="00BA067F" w:rsidP="00BA067F">
            <w:pPr>
              <w:rPr>
                <w:rFonts w:ascii="Arial" w:hAnsi="Arial" w:cs="Arial"/>
                <w:sz w:val="18"/>
                <w:szCs w:val="18"/>
              </w:rPr>
            </w:pPr>
            <w:r w:rsidRPr="00D71B79">
              <w:rPr>
                <w:rFonts w:ascii="Arial" w:hAnsi="Arial" w:cs="Arial"/>
                <w:sz w:val="18"/>
                <w:szCs w:val="18"/>
              </w:rPr>
              <w:t>Open Access</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368,2</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177,3</w:t>
            </w:r>
          </w:p>
        </w:tc>
        <w:tc>
          <w:tcPr>
            <w:tcW w:w="1026"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166,2</w:t>
            </w:r>
          </w:p>
        </w:tc>
        <w:tc>
          <w:tcPr>
            <w:tcW w:w="1027" w:type="dxa"/>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80,2</w:t>
            </w:r>
          </w:p>
        </w:tc>
      </w:tr>
      <w:tr w:rsidR="00BA067F" w:rsidRPr="00D71B79" w:rsidTr="00D71B79">
        <w:trPr>
          <w:trHeight w:val="300"/>
        </w:trPr>
        <w:tc>
          <w:tcPr>
            <w:tcW w:w="4395" w:type="dxa"/>
            <w:tcBorders>
              <w:bottom w:val="single" w:sz="12" w:space="0" w:color="auto"/>
            </w:tcBorders>
            <w:shd w:val="clear" w:color="auto" w:fill="DEEAF6" w:themeFill="accent1" w:themeFillTint="33"/>
            <w:noWrap/>
            <w:vAlign w:val="center"/>
            <w:hideMark/>
          </w:tcPr>
          <w:p w:rsidR="00BA067F" w:rsidRPr="00D71B79" w:rsidRDefault="00BA067F" w:rsidP="00BA067F">
            <w:pPr>
              <w:rPr>
                <w:rFonts w:ascii="Arial" w:hAnsi="Arial" w:cs="Arial"/>
                <w:sz w:val="18"/>
                <w:szCs w:val="18"/>
              </w:rPr>
            </w:pPr>
            <w:r w:rsidRPr="00D71B79">
              <w:rPr>
                <w:rFonts w:ascii="Arial" w:hAnsi="Arial" w:cs="Arial"/>
                <w:sz w:val="18"/>
                <w:szCs w:val="18"/>
              </w:rPr>
              <w:t>Objednávka krajů</w:t>
            </w:r>
          </w:p>
        </w:tc>
        <w:tc>
          <w:tcPr>
            <w:tcW w:w="1026" w:type="dxa"/>
            <w:tcBorders>
              <w:bottom w:val="single" w:sz="12" w:space="0" w:color="auto"/>
            </w:tcBorders>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1 415,6</w:t>
            </w:r>
          </w:p>
        </w:tc>
        <w:tc>
          <w:tcPr>
            <w:tcW w:w="1026" w:type="dxa"/>
            <w:tcBorders>
              <w:bottom w:val="single" w:sz="12" w:space="0" w:color="auto"/>
            </w:tcBorders>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681,7</w:t>
            </w:r>
          </w:p>
        </w:tc>
        <w:tc>
          <w:tcPr>
            <w:tcW w:w="1026" w:type="dxa"/>
            <w:tcBorders>
              <w:bottom w:val="single" w:sz="12" w:space="0" w:color="auto"/>
            </w:tcBorders>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861,6</w:t>
            </w:r>
          </w:p>
        </w:tc>
        <w:tc>
          <w:tcPr>
            <w:tcW w:w="1027" w:type="dxa"/>
            <w:tcBorders>
              <w:bottom w:val="single" w:sz="12" w:space="0" w:color="auto"/>
            </w:tcBorders>
            <w:shd w:val="clear" w:color="auto" w:fill="DEEAF6" w:themeFill="accent1" w:themeFillTint="33"/>
            <w:noWrap/>
          </w:tcPr>
          <w:p w:rsidR="00BA067F" w:rsidRPr="00D71B79" w:rsidRDefault="00BA067F" w:rsidP="00BA067F">
            <w:pPr>
              <w:jc w:val="center"/>
              <w:rPr>
                <w:rFonts w:ascii="Arial" w:hAnsi="Arial" w:cs="Arial"/>
                <w:sz w:val="18"/>
                <w:szCs w:val="18"/>
              </w:rPr>
            </w:pPr>
            <w:r w:rsidRPr="00D71B79">
              <w:rPr>
                <w:rFonts w:ascii="Arial" w:hAnsi="Arial" w:cs="Arial"/>
                <w:sz w:val="18"/>
                <w:szCs w:val="18"/>
              </w:rPr>
              <w:t>415,7</w:t>
            </w:r>
          </w:p>
        </w:tc>
      </w:tr>
      <w:tr w:rsidR="00BA067F" w:rsidRPr="00D71B79" w:rsidTr="00D71B79">
        <w:trPr>
          <w:trHeight w:val="300"/>
        </w:trPr>
        <w:tc>
          <w:tcPr>
            <w:tcW w:w="4395" w:type="dxa"/>
            <w:tcBorders>
              <w:top w:val="single" w:sz="12" w:space="0" w:color="auto"/>
              <w:left w:val="single" w:sz="12" w:space="0" w:color="auto"/>
              <w:bottom w:val="single" w:sz="12" w:space="0" w:color="auto"/>
            </w:tcBorders>
            <w:noWrap/>
            <w:vAlign w:val="center"/>
            <w:hideMark/>
          </w:tcPr>
          <w:p w:rsidR="00BA067F" w:rsidRPr="00D71B79" w:rsidRDefault="00BA067F" w:rsidP="00BA067F">
            <w:pPr>
              <w:rPr>
                <w:rFonts w:ascii="Arial" w:hAnsi="Arial" w:cs="Arial"/>
                <w:b/>
                <w:sz w:val="18"/>
                <w:szCs w:val="18"/>
              </w:rPr>
            </w:pPr>
            <w:r w:rsidRPr="00D71B79">
              <w:rPr>
                <w:rFonts w:ascii="Arial" w:hAnsi="Arial" w:cs="Arial"/>
                <w:b/>
                <w:sz w:val="18"/>
                <w:szCs w:val="18"/>
              </w:rPr>
              <w:t>Součet úspor oproti situaci bez provedení reformy slev</w:t>
            </w:r>
          </w:p>
        </w:tc>
        <w:tc>
          <w:tcPr>
            <w:tcW w:w="1026" w:type="dxa"/>
            <w:tcBorders>
              <w:top w:val="single" w:sz="12" w:space="0" w:color="auto"/>
              <w:bottom w:val="single" w:sz="12" w:space="0" w:color="auto"/>
            </w:tcBorders>
            <w:noWrap/>
            <w:vAlign w:val="bottom"/>
          </w:tcPr>
          <w:p w:rsidR="00BA067F" w:rsidRPr="00D71B79" w:rsidRDefault="00BA067F" w:rsidP="00BA067F">
            <w:pPr>
              <w:jc w:val="center"/>
              <w:rPr>
                <w:rFonts w:ascii="Arial" w:hAnsi="Arial" w:cs="Arial"/>
                <w:b/>
                <w:sz w:val="18"/>
                <w:szCs w:val="18"/>
              </w:rPr>
            </w:pPr>
            <w:r w:rsidRPr="00D71B79">
              <w:rPr>
                <w:rFonts w:ascii="Arial" w:hAnsi="Arial" w:cs="Arial"/>
                <w:b/>
                <w:color w:val="000000"/>
                <w:sz w:val="18"/>
                <w:szCs w:val="18"/>
              </w:rPr>
              <w:t> </w:t>
            </w:r>
          </w:p>
        </w:tc>
        <w:tc>
          <w:tcPr>
            <w:tcW w:w="1026" w:type="dxa"/>
            <w:tcBorders>
              <w:top w:val="single" w:sz="12" w:space="0" w:color="auto"/>
              <w:bottom w:val="single" w:sz="12" w:space="0" w:color="auto"/>
            </w:tcBorders>
            <w:noWrap/>
            <w:vAlign w:val="bottom"/>
          </w:tcPr>
          <w:p w:rsidR="00BA067F" w:rsidRPr="00D71B79" w:rsidRDefault="00BA067F" w:rsidP="00BA067F">
            <w:pPr>
              <w:jc w:val="center"/>
              <w:rPr>
                <w:rFonts w:ascii="Arial" w:hAnsi="Arial" w:cs="Arial"/>
                <w:b/>
                <w:sz w:val="18"/>
                <w:szCs w:val="18"/>
              </w:rPr>
            </w:pPr>
            <w:r w:rsidRPr="00D71B79">
              <w:rPr>
                <w:rFonts w:ascii="Arial" w:hAnsi="Arial" w:cs="Arial"/>
                <w:b/>
                <w:color w:val="000000"/>
                <w:sz w:val="18"/>
                <w:szCs w:val="18"/>
              </w:rPr>
              <w:t>1 882,0</w:t>
            </w:r>
          </w:p>
        </w:tc>
        <w:tc>
          <w:tcPr>
            <w:tcW w:w="1026" w:type="dxa"/>
            <w:tcBorders>
              <w:top w:val="single" w:sz="12" w:space="0" w:color="auto"/>
              <w:bottom w:val="single" w:sz="12" w:space="0" w:color="auto"/>
            </w:tcBorders>
            <w:noWrap/>
            <w:vAlign w:val="bottom"/>
          </w:tcPr>
          <w:p w:rsidR="00BA067F" w:rsidRPr="00D71B79" w:rsidRDefault="00BA067F" w:rsidP="00BA067F">
            <w:pPr>
              <w:jc w:val="center"/>
              <w:rPr>
                <w:rFonts w:ascii="Arial" w:hAnsi="Arial" w:cs="Arial"/>
                <w:b/>
                <w:sz w:val="18"/>
                <w:szCs w:val="18"/>
              </w:rPr>
            </w:pPr>
            <w:r w:rsidRPr="00D71B79">
              <w:rPr>
                <w:rFonts w:ascii="Arial" w:hAnsi="Arial" w:cs="Arial"/>
                <w:b/>
                <w:color w:val="000000"/>
                <w:sz w:val="18"/>
                <w:szCs w:val="18"/>
              </w:rPr>
              <w:t> </w:t>
            </w:r>
          </w:p>
        </w:tc>
        <w:tc>
          <w:tcPr>
            <w:tcW w:w="1027" w:type="dxa"/>
            <w:tcBorders>
              <w:top w:val="single" w:sz="12" w:space="0" w:color="auto"/>
              <w:bottom w:val="single" w:sz="12" w:space="0" w:color="auto"/>
              <w:right w:val="single" w:sz="12" w:space="0" w:color="auto"/>
            </w:tcBorders>
            <w:noWrap/>
            <w:vAlign w:val="bottom"/>
          </w:tcPr>
          <w:p w:rsidR="00BA067F" w:rsidRPr="00D71B79" w:rsidRDefault="00BA067F" w:rsidP="00BA067F">
            <w:pPr>
              <w:rPr>
                <w:rFonts w:ascii="Arial" w:hAnsi="Arial" w:cs="Arial"/>
                <w:b/>
                <w:sz w:val="18"/>
                <w:szCs w:val="18"/>
              </w:rPr>
            </w:pPr>
            <w:r w:rsidRPr="00D71B79">
              <w:rPr>
                <w:rFonts w:ascii="Arial" w:hAnsi="Arial" w:cs="Arial"/>
                <w:b/>
                <w:color w:val="000000"/>
                <w:sz w:val="18"/>
                <w:szCs w:val="18"/>
              </w:rPr>
              <w:t>1 131,6</w:t>
            </w:r>
          </w:p>
        </w:tc>
      </w:tr>
    </w:tbl>
    <w:p w:rsidR="00D15BF5" w:rsidRPr="00D71B79" w:rsidRDefault="00D15BF5" w:rsidP="00D15BF5">
      <w:pPr>
        <w:pStyle w:val="Odstavecseseznamem"/>
        <w:numPr>
          <w:ilvl w:val="0"/>
          <w:numId w:val="10"/>
        </w:numPr>
        <w:spacing w:before="120" w:after="120" w:line="240" w:lineRule="auto"/>
        <w:ind w:left="567" w:hanging="567"/>
        <w:contextualSpacing w:val="0"/>
        <w:jc w:val="both"/>
        <w:rPr>
          <w:rFonts w:ascii="Arial" w:hAnsi="Arial" w:cs="Arial"/>
        </w:rPr>
      </w:pPr>
      <w:r w:rsidRPr="00D71B79">
        <w:rPr>
          <w:rFonts w:ascii="Arial" w:hAnsi="Arial" w:cs="Arial"/>
        </w:rPr>
        <w:t>Konečně zbývá i u varianty II</w:t>
      </w:r>
      <w:r w:rsidR="00A34C8E" w:rsidRPr="00D71B79">
        <w:rPr>
          <w:rFonts w:ascii="Arial" w:hAnsi="Arial" w:cs="Arial"/>
        </w:rPr>
        <w:t>I</w:t>
      </w:r>
      <w:r w:rsidRPr="00D71B79">
        <w:rPr>
          <w:rFonts w:ascii="Arial" w:hAnsi="Arial" w:cs="Arial"/>
        </w:rPr>
        <w:t xml:space="preserve"> odpovědět </w:t>
      </w:r>
      <w:r w:rsidR="00A34C8E" w:rsidRPr="00D71B79">
        <w:rPr>
          <w:rFonts w:ascii="Arial" w:hAnsi="Arial" w:cs="Arial"/>
        </w:rPr>
        <w:t>na </w:t>
      </w:r>
      <w:r w:rsidRPr="00D71B79">
        <w:rPr>
          <w:rFonts w:ascii="Arial" w:hAnsi="Arial" w:cs="Arial"/>
        </w:rPr>
        <w:t xml:space="preserve">otázku, jaký bude předpokládaný střednědobý dopad na veřejné rozpočty z pohledu objednatelů. </w:t>
      </w:r>
      <w:r w:rsidR="00E24EC4" w:rsidRPr="00D71B79">
        <w:rPr>
          <w:rFonts w:ascii="Arial" w:hAnsi="Arial" w:cs="Arial"/>
        </w:rPr>
        <w:t>Obecně bude poměrně malý, protože snížení slevy 75</w:t>
      </w:r>
      <w:r w:rsidR="00A34C8E" w:rsidRPr="00D71B79">
        <w:rPr>
          <w:rFonts w:ascii="Arial" w:hAnsi="Arial" w:cs="Arial"/>
        </w:rPr>
        <w:t> </w:t>
      </w:r>
      <w:r w:rsidR="00E24EC4" w:rsidRPr="00D71B79">
        <w:rPr>
          <w:rFonts w:ascii="Arial" w:hAnsi="Arial" w:cs="Arial"/>
        </w:rPr>
        <w:t>% na 50 % nevyvolá zásadní reakce ze strany cestující veřejnosti, očekáváme, že slevy budou i</w:t>
      </w:r>
      <w:r w:rsidR="00A34C8E" w:rsidRPr="00D71B79">
        <w:rPr>
          <w:rFonts w:ascii="Arial" w:hAnsi="Arial" w:cs="Arial"/>
        </w:rPr>
        <w:t> </w:t>
      </w:r>
      <w:r w:rsidR="00E24EC4" w:rsidRPr="00D71B79">
        <w:rPr>
          <w:rFonts w:ascii="Arial" w:hAnsi="Arial" w:cs="Arial"/>
        </w:rPr>
        <w:t xml:space="preserve">nadále atraktivní. </w:t>
      </w:r>
      <w:r w:rsidRPr="00D71B79">
        <w:rPr>
          <w:rFonts w:ascii="Arial" w:hAnsi="Arial" w:cs="Arial"/>
        </w:rPr>
        <w:t>Využijeme-li předpoklady uvedené v části 3 tohoto materiálu a vezmeme-li v úvahu, že podstatná většina slev je redukována</w:t>
      </w:r>
      <w:r w:rsidR="00E24EC4" w:rsidRPr="00D71B79">
        <w:rPr>
          <w:rFonts w:ascii="Arial" w:hAnsi="Arial" w:cs="Arial"/>
        </w:rPr>
        <w:t xml:space="preserve"> málo</w:t>
      </w:r>
      <w:r w:rsidRPr="00D71B79">
        <w:rPr>
          <w:rFonts w:ascii="Arial" w:hAnsi="Arial" w:cs="Arial"/>
        </w:rPr>
        <w:t xml:space="preserve">, odhadujeme index úbytku výnosů, tj. část z výpadku kompenzací slev, kterou budou muset v konečném důsledku zaplatit objednatelé, na </w:t>
      </w:r>
      <w:r w:rsidR="00E24EC4" w:rsidRPr="00D71B79">
        <w:rPr>
          <w:rFonts w:ascii="Arial" w:hAnsi="Arial" w:cs="Arial"/>
        </w:rPr>
        <w:t>10 </w:t>
      </w:r>
      <w:r w:rsidRPr="00D71B79">
        <w:rPr>
          <w:rFonts w:ascii="Arial" w:hAnsi="Arial" w:cs="Arial"/>
        </w:rPr>
        <w:t>%. V propočtech vychází, že předpokládaný střednědobý dopad do rozpočtu krajů bude v někol</w:t>
      </w:r>
      <w:r w:rsidR="00E24EC4" w:rsidRPr="00D71B79">
        <w:rPr>
          <w:rFonts w:ascii="Arial" w:hAnsi="Arial" w:cs="Arial"/>
        </w:rPr>
        <w:t>ika následujících letech asi 80 – 13</w:t>
      </w:r>
      <w:r w:rsidRPr="00D71B79">
        <w:rPr>
          <w:rFonts w:ascii="Arial" w:hAnsi="Arial" w:cs="Arial"/>
        </w:rPr>
        <w:t xml:space="preserve">0 mil. Kč ročně a v případě rozpočtu </w:t>
      </w:r>
      <w:r w:rsidR="00E24EC4" w:rsidRPr="00D71B79">
        <w:rPr>
          <w:rFonts w:ascii="Arial" w:hAnsi="Arial" w:cs="Arial"/>
        </w:rPr>
        <w:t>MD (objednávka státu) odhadem 10 – 30</w:t>
      </w:r>
      <w:r w:rsidRPr="00D71B79">
        <w:rPr>
          <w:rFonts w:ascii="Arial" w:hAnsi="Arial" w:cs="Arial"/>
        </w:rPr>
        <w:t xml:space="preserve"> mil. Kč ročně. Uvedený odhad ale stejně jako u předchozí</w:t>
      </w:r>
      <w:r w:rsidR="00A34C8E" w:rsidRPr="00D71B79">
        <w:rPr>
          <w:rFonts w:ascii="Arial" w:hAnsi="Arial" w:cs="Arial"/>
        </w:rPr>
        <w:t>ch</w:t>
      </w:r>
      <w:r w:rsidRPr="00D71B79">
        <w:rPr>
          <w:rFonts w:ascii="Arial" w:hAnsi="Arial" w:cs="Arial"/>
        </w:rPr>
        <w:t xml:space="preserve"> var</w:t>
      </w:r>
      <w:r w:rsidR="00A34C8E" w:rsidRPr="00D71B79">
        <w:rPr>
          <w:rFonts w:ascii="Arial" w:hAnsi="Arial" w:cs="Arial"/>
        </w:rPr>
        <w:t>iant</w:t>
      </w:r>
      <w:r w:rsidRPr="00D71B79">
        <w:rPr>
          <w:rFonts w:ascii="Arial" w:hAnsi="Arial" w:cs="Arial"/>
        </w:rPr>
        <w:t xml:space="preserve"> záleží na řadě faktorů: na elasticitě poptávky, na celkovém vývoji poptávky v post-</w:t>
      </w:r>
      <w:proofErr w:type="spellStart"/>
      <w:r w:rsidRPr="00D71B79">
        <w:rPr>
          <w:rFonts w:ascii="Arial" w:hAnsi="Arial" w:cs="Arial"/>
        </w:rPr>
        <w:t>covidovém</w:t>
      </w:r>
      <w:proofErr w:type="spellEnd"/>
      <w:r w:rsidRPr="00D71B79">
        <w:rPr>
          <w:rFonts w:ascii="Arial" w:hAnsi="Arial" w:cs="Arial"/>
        </w:rPr>
        <w:t xml:space="preserve"> období, na efektivitě tarifního plánování dopravců (optimalizace tarifu na trh) a v neposlední řadě i na politických požadavcích regionálních objednatelů, týkajících se cen v regionální dopravě.</w:t>
      </w:r>
    </w:p>
    <w:p w:rsidR="00E24EC4" w:rsidRPr="00D71B79" w:rsidRDefault="00E24EC4" w:rsidP="00E24EC4">
      <w:pPr>
        <w:spacing w:before="120" w:after="120" w:line="240" w:lineRule="auto"/>
        <w:jc w:val="both"/>
        <w:rPr>
          <w:rFonts w:ascii="Arial" w:hAnsi="Arial" w:cs="Arial"/>
          <w:b/>
          <w:color w:val="002060"/>
        </w:rPr>
      </w:pPr>
    </w:p>
    <w:p w:rsidR="00E55605" w:rsidRPr="00D905A8" w:rsidRDefault="00E24EC4" w:rsidP="00E24EC4">
      <w:pPr>
        <w:spacing w:before="120" w:after="120" w:line="240" w:lineRule="auto"/>
        <w:jc w:val="both"/>
        <w:rPr>
          <w:rFonts w:ascii="Arial" w:hAnsi="Arial" w:cs="Arial"/>
          <w:b/>
          <w:color w:val="002060"/>
        </w:rPr>
      </w:pPr>
      <w:r w:rsidRPr="00D905A8">
        <w:rPr>
          <w:rFonts w:ascii="Arial" w:hAnsi="Arial" w:cs="Arial"/>
          <w:b/>
          <w:color w:val="002060"/>
        </w:rPr>
        <w:t xml:space="preserve">Závěrem lze uvést, že otázka redukce státem nařízených slev je věcně odůvodnitelná. Uspořit se dá prakticky jen na úpravách „nových“ slev zavedených v roce 2018 pro děti, studenty a seniory. </w:t>
      </w:r>
      <w:r w:rsidR="00E55605" w:rsidRPr="00D905A8">
        <w:rPr>
          <w:rFonts w:ascii="Arial" w:hAnsi="Arial" w:cs="Arial"/>
          <w:b/>
          <w:color w:val="002060"/>
        </w:rPr>
        <w:t xml:space="preserve">Možností úprav je celá řada. </w:t>
      </w:r>
      <w:r w:rsidRPr="00D905A8">
        <w:rPr>
          <w:rFonts w:ascii="Arial" w:hAnsi="Arial" w:cs="Arial"/>
          <w:b/>
          <w:color w:val="002060"/>
        </w:rPr>
        <w:t xml:space="preserve">Portfolio možností a jeho odhadované rozpočtové dopady ukazují tabulky č. 4 a 5. Rozhodnutí o kombinaci výsledných slev je rozhodnutí dopravně-politické. </w:t>
      </w:r>
    </w:p>
    <w:p w:rsidR="00E24EC4" w:rsidRPr="00D905A8" w:rsidRDefault="00E24EC4" w:rsidP="00E24EC4">
      <w:pPr>
        <w:spacing w:before="120" w:after="120" w:line="240" w:lineRule="auto"/>
        <w:jc w:val="both"/>
        <w:rPr>
          <w:rFonts w:ascii="Arial" w:hAnsi="Arial" w:cs="Arial"/>
          <w:b/>
          <w:color w:val="002060"/>
        </w:rPr>
      </w:pPr>
      <w:r w:rsidRPr="00D905A8">
        <w:rPr>
          <w:rFonts w:ascii="Arial" w:hAnsi="Arial" w:cs="Arial"/>
          <w:b/>
          <w:color w:val="002060"/>
        </w:rPr>
        <w:t xml:space="preserve">Příklady, jak lze možnosti kombinovat, jsou uvedeny v části 5, přičemž věcně lze </w:t>
      </w:r>
      <w:r w:rsidR="007462A0" w:rsidRPr="00D905A8">
        <w:rPr>
          <w:rFonts w:ascii="Arial" w:hAnsi="Arial" w:cs="Arial"/>
          <w:b/>
          <w:color w:val="002060"/>
        </w:rPr>
        <w:t xml:space="preserve">z pohledu Ministerstva dopravy </w:t>
      </w:r>
      <w:r w:rsidR="007462A0" w:rsidRPr="00D905A8">
        <w:rPr>
          <w:rFonts w:ascii="Arial" w:hAnsi="Arial" w:cs="Arial"/>
          <w:b/>
          <w:color w:val="002060"/>
          <w:u w:val="single"/>
        </w:rPr>
        <w:t>doporučit variantu III, tedy rovné snížení slev na 50 % u všech „nových“ slev z roku 2018</w:t>
      </w:r>
      <w:r w:rsidR="00D77055" w:rsidRPr="00D905A8">
        <w:rPr>
          <w:rFonts w:ascii="Arial" w:hAnsi="Arial" w:cs="Arial"/>
          <w:b/>
          <w:color w:val="002060"/>
          <w:u w:val="single"/>
        </w:rPr>
        <w:t>, a to k termínu 1. dubna 2022</w:t>
      </w:r>
      <w:r w:rsidR="007462A0" w:rsidRPr="00D905A8">
        <w:rPr>
          <w:rFonts w:ascii="Arial" w:hAnsi="Arial" w:cs="Arial"/>
          <w:b/>
          <w:color w:val="002060"/>
        </w:rPr>
        <w:t>.</w:t>
      </w:r>
    </w:p>
    <w:p w:rsidR="007462A0" w:rsidRPr="00D905A8" w:rsidRDefault="007462A0" w:rsidP="00E24EC4">
      <w:pPr>
        <w:spacing w:before="120" w:after="120" w:line="240" w:lineRule="auto"/>
        <w:jc w:val="both"/>
        <w:rPr>
          <w:rFonts w:ascii="Arial" w:hAnsi="Arial" w:cs="Arial"/>
          <w:b/>
          <w:color w:val="002060"/>
        </w:rPr>
      </w:pPr>
      <w:r w:rsidRPr="00D905A8">
        <w:rPr>
          <w:rFonts w:ascii="Arial" w:hAnsi="Arial" w:cs="Arial"/>
          <w:b/>
          <w:color w:val="002060"/>
        </w:rPr>
        <w:t>V případě přijetí uvedené varianty:</w:t>
      </w:r>
    </w:p>
    <w:p w:rsidR="007462A0" w:rsidRPr="00D905A8" w:rsidRDefault="007B4E8D" w:rsidP="00E55605">
      <w:pPr>
        <w:pStyle w:val="Odstavecseseznamem"/>
        <w:numPr>
          <w:ilvl w:val="0"/>
          <w:numId w:val="35"/>
        </w:numPr>
        <w:spacing w:before="120" w:after="120" w:line="240" w:lineRule="auto"/>
        <w:ind w:left="567" w:hanging="567"/>
        <w:contextualSpacing w:val="0"/>
        <w:jc w:val="both"/>
        <w:rPr>
          <w:rFonts w:ascii="Arial" w:hAnsi="Arial" w:cs="Arial"/>
          <w:b/>
          <w:color w:val="002060"/>
        </w:rPr>
      </w:pPr>
      <w:r w:rsidRPr="00D905A8">
        <w:rPr>
          <w:rFonts w:ascii="Arial" w:hAnsi="Arial" w:cs="Arial"/>
          <w:b/>
          <w:color w:val="002060"/>
        </w:rPr>
        <w:t>n</w:t>
      </w:r>
      <w:r w:rsidR="007462A0" w:rsidRPr="00D905A8">
        <w:rPr>
          <w:rFonts w:ascii="Arial" w:hAnsi="Arial" w:cs="Arial"/>
          <w:b/>
          <w:color w:val="002060"/>
        </w:rPr>
        <w:t xml:space="preserve">adále bude dotčeným skupinám nabízena </w:t>
      </w:r>
      <w:r w:rsidRPr="00D905A8">
        <w:rPr>
          <w:rFonts w:ascii="Arial" w:hAnsi="Arial" w:cs="Arial"/>
          <w:b/>
          <w:color w:val="002060"/>
        </w:rPr>
        <w:t xml:space="preserve">velmi </w:t>
      </w:r>
      <w:r w:rsidR="007462A0" w:rsidRPr="00D905A8">
        <w:rPr>
          <w:rFonts w:ascii="Arial" w:hAnsi="Arial" w:cs="Arial"/>
          <w:b/>
          <w:color w:val="002060"/>
        </w:rPr>
        <w:t xml:space="preserve">atraktivní nabídka </w:t>
      </w:r>
      <w:r w:rsidR="007131AC" w:rsidRPr="00D905A8">
        <w:rPr>
          <w:rFonts w:ascii="Arial" w:hAnsi="Arial" w:cs="Arial"/>
          <w:b/>
          <w:color w:val="002060"/>
        </w:rPr>
        <w:t>slev</w:t>
      </w:r>
      <w:r w:rsidRPr="00D905A8">
        <w:rPr>
          <w:rFonts w:ascii="Arial" w:hAnsi="Arial" w:cs="Arial"/>
          <w:b/>
          <w:color w:val="002060"/>
        </w:rPr>
        <w:t>;</w:t>
      </w:r>
    </w:p>
    <w:p w:rsidR="007B4E8D" w:rsidRPr="00D905A8" w:rsidRDefault="00292F7D" w:rsidP="00E55605">
      <w:pPr>
        <w:pStyle w:val="Odstavecseseznamem"/>
        <w:numPr>
          <w:ilvl w:val="0"/>
          <w:numId w:val="35"/>
        </w:numPr>
        <w:spacing w:before="120" w:after="120" w:line="240" w:lineRule="auto"/>
        <w:ind w:left="567" w:hanging="567"/>
        <w:contextualSpacing w:val="0"/>
        <w:jc w:val="both"/>
        <w:rPr>
          <w:rFonts w:ascii="Arial" w:hAnsi="Arial" w:cs="Arial"/>
          <w:b/>
          <w:color w:val="002060"/>
        </w:rPr>
      </w:pPr>
      <w:r w:rsidRPr="00D905A8">
        <w:rPr>
          <w:rFonts w:ascii="Arial" w:hAnsi="Arial" w:cs="Arial"/>
          <w:b/>
          <w:color w:val="002060"/>
        </w:rPr>
        <w:t>ve shodě s Programovým prohlášením vlády</w:t>
      </w:r>
      <w:r w:rsidR="007B4E8D" w:rsidRPr="00D905A8">
        <w:rPr>
          <w:rFonts w:ascii="Arial" w:hAnsi="Arial" w:cs="Arial"/>
          <w:b/>
          <w:color w:val="002060"/>
        </w:rPr>
        <w:t xml:space="preserve"> </w:t>
      </w:r>
      <w:r w:rsidRPr="00D905A8">
        <w:rPr>
          <w:rFonts w:ascii="Arial" w:hAnsi="Arial" w:cs="Arial"/>
          <w:b/>
          <w:color w:val="002060"/>
        </w:rPr>
        <w:t xml:space="preserve">ČR dojde k vyjádření </w:t>
      </w:r>
      <w:r w:rsidR="007B4E8D" w:rsidRPr="00D905A8">
        <w:rPr>
          <w:rFonts w:ascii="Arial" w:hAnsi="Arial" w:cs="Arial"/>
          <w:b/>
          <w:color w:val="002060"/>
        </w:rPr>
        <w:t>podpor</w:t>
      </w:r>
      <w:r w:rsidRPr="00D905A8">
        <w:rPr>
          <w:rFonts w:ascii="Arial" w:hAnsi="Arial" w:cs="Arial"/>
          <w:b/>
          <w:color w:val="002060"/>
        </w:rPr>
        <w:t>y</w:t>
      </w:r>
      <w:r w:rsidR="007B4E8D" w:rsidRPr="00D905A8">
        <w:rPr>
          <w:rFonts w:ascii="Arial" w:hAnsi="Arial" w:cs="Arial"/>
          <w:b/>
          <w:color w:val="002060"/>
        </w:rPr>
        <w:t xml:space="preserve"> </w:t>
      </w:r>
      <w:r w:rsidRPr="00D905A8">
        <w:rPr>
          <w:rFonts w:ascii="Arial" w:hAnsi="Arial" w:cs="Arial"/>
          <w:b/>
          <w:color w:val="002060"/>
        </w:rPr>
        <w:t xml:space="preserve">pro </w:t>
      </w:r>
      <w:r w:rsidR="007B4E8D" w:rsidRPr="00D905A8">
        <w:rPr>
          <w:rFonts w:ascii="Arial" w:hAnsi="Arial" w:cs="Arial"/>
          <w:b/>
          <w:color w:val="002060"/>
        </w:rPr>
        <w:t xml:space="preserve">cestování veřejnou dopravou; </w:t>
      </w:r>
    </w:p>
    <w:p w:rsidR="00772FBF" w:rsidRPr="00D905A8" w:rsidRDefault="00772FBF" w:rsidP="00E55605">
      <w:pPr>
        <w:pStyle w:val="Odstavecseseznamem"/>
        <w:numPr>
          <w:ilvl w:val="0"/>
          <w:numId w:val="35"/>
        </w:numPr>
        <w:spacing w:before="120" w:after="120" w:line="240" w:lineRule="auto"/>
        <w:ind w:left="567" w:hanging="567"/>
        <w:contextualSpacing w:val="0"/>
        <w:jc w:val="both"/>
        <w:rPr>
          <w:rFonts w:ascii="Arial" w:hAnsi="Arial" w:cs="Arial"/>
          <w:b/>
          <w:color w:val="002060"/>
        </w:rPr>
      </w:pPr>
      <w:r w:rsidRPr="00D905A8">
        <w:rPr>
          <w:rFonts w:ascii="Arial" w:hAnsi="Arial" w:cs="Arial"/>
          <w:b/>
          <w:color w:val="002060"/>
        </w:rPr>
        <w:t xml:space="preserve">nastavení slevových režimů bude i nadále velmi jednouché a přehledné; </w:t>
      </w:r>
    </w:p>
    <w:p w:rsidR="00292F7D" w:rsidRPr="00D905A8" w:rsidRDefault="00292F7D" w:rsidP="00E55605">
      <w:pPr>
        <w:pStyle w:val="Odstavecseseznamem"/>
        <w:numPr>
          <w:ilvl w:val="0"/>
          <w:numId w:val="35"/>
        </w:numPr>
        <w:spacing w:before="120" w:after="120" w:line="240" w:lineRule="auto"/>
        <w:ind w:left="567" w:hanging="567"/>
        <w:contextualSpacing w:val="0"/>
        <w:jc w:val="both"/>
        <w:rPr>
          <w:rFonts w:ascii="Arial" w:hAnsi="Arial" w:cs="Arial"/>
          <w:b/>
          <w:color w:val="002060"/>
        </w:rPr>
      </w:pPr>
      <w:r w:rsidRPr="00D905A8">
        <w:rPr>
          <w:rFonts w:ascii="Arial" w:hAnsi="Arial" w:cs="Arial"/>
          <w:b/>
          <w:color w:val="002060"/>
        </w:rPr>
        <w:t>ve spojení se sjednocením počtu dvou dětí do 6 let, které může dospělá osoba zdarma přepravovat ve vozidle, dojde k určitému zvýhodnění pro rodiny s více dětmi a zejména zpřehlednění a zjednodušení celého systému veřejné dopravy pro rodinné cestování;</w:t>
      </w:r>
    </w:p>
    <w:p w:rsidR="007B4E8D" w:rsidRPr="00D905A8" w:rsidRDefault="007B4E8D" w:rsidP="00E55605">
      <w:pPr>
        <w:pStyle w:val="Odstavecseseznamem"/>
        <w:numPr>
          <w:ilvl w:val="0"/>
          <w:numId w:val="35"/>
        </w:numPr>
        <w:spacing w:after="120" w:line="240" w:lineRule="auto"/>
        <w:ind w:left="567" w:hanging="567"/>
        <w:contextualSpacing w:val="0"/>
        <w:jc w:val="both"/>
        <w:rPr>
          <w:rFonts w:ascii="Arial" w:hAnsi="Arial" w:cs="Arial"/>
          <w:b/>
          <w:color w:val="002060"/>
        </w:rPr>
      </w:pPr>
      <w:r w:rsidRPr="00D905A8">
        <w:rPr>
          <w:rFonts w:ascii="Arial" w:hAnsi="Arial" w:cs="Arial"/>
          <w:b/>
          <w:color w:val="002060"/>
        </w:rPr>
        <w:t>s</w:t>
      </w:r>
      <w:r w:rsidR="007462A0" w:rsidRPr="00D905A8">
        <w:rPr>
          <w:rFonts w:ascii="Arial" w:hAnsi="Arial" w:cs="Arial"/>
          <w:b/>
          <w:color w:val="002060"/>
        </w:rPr>
        <w:t xml:space="preserve">tát na kompenzacích </w:t>
      </w:r>
      <w:r w:rsidRPr="00D905A8">
        <w:rPr>
          <w:rFonts w:ascii="Arial" w:hAnsi="Arial" w:cs="Arial"/>
          <w:b/>
          <w:color w:val="002060"/>
        </w:rPr>
        <w:t xml:space="preserve">ročně </w:t>
      </w:r>
      <w:r w:rsidR="00E55605" w:rsidRPr="00D905A8">
        <w:rPr>
          <w:rFonts w:ascii="Arial" w:hAnsi="Arial" w:cs="Arial"/>
          <w:b/>
          <w:color w:val="002060"/>
        </w:rPr>
        <w:t xml:space="preserve">dlouhodobě </w:t>
      </w:r>
      <w:r w:rsidR="007462A0" w:rsidRPr="00D905A8">
        <w:rPr>
          <w:rFonts w:ascii="Arial" w:hAnsi="Arial" w:cs="Arial"/>
          <w:b/>
          <w:color w:val="002060"/>
        </w:rPr>
        <w:t>uspoří cca třetinu stáva</w:t>
      </w:r>
      <w:r w:rsidRPr="00D905A8">
        <w:rPr>
          <w:rFonts w:ascii="Arial" w:hAnsi="Arial" w:cs="Arial"/>
          <w:b/>
          <w:color w:val="002060"/>
        </w:rPr>
        <w:t>jíc</w:t>
      </w:r>
      <w:r w:rsidR="007462A0" w:rsidRPr="00D905A8">
        <w:rPr>
          <w:rFonts w:ascii="Arial" w:hAnsi="Arial" w:cs="Arial"/>
          <w:b/>
          <w:color w:val="002060"/>
        </w:rPr>
        <w:t xml:space="preserve">ího </w:t>
      </w:r>
      <w:r w:rsidRPr="00D905A8">
        <w:rPr>
          <w:rFonts w:ascii="Arial" w:hAnsi="Arial" w:cs="Arial"/>
          <w:b/>
          <w:color w:val="002060"/>
        </w:rPr>
        <w:t xml:space="preserve">rozsahu finančních prostředků (jak je uvedeno v tabulce 14, v případě přepravně optimistického modelu cca 1,88 mld. Kč ročně, v případě přepravně pesimistického modelu cca 1,13 mld. Kč); </w:t>
      </w:r>
      <w:r w:rsidR="00E55605" w:rsidRPr="00D905A8">
        <w:rPr>
          <w:rFonts w:ascii="Arial" w:hAnsi="Arial" w:cs="Arial"/>
          <w:b/>
          <w:color w:val="002060"/>
        </w:rPr>
        <w:t>nicméně je třeba upozornit na skutečnost, že pro rok 2022 nebyla ve státním rozpočtu vyhrazena dostatečná částka pro úhradu státem nařízených slev, takže nelze očekávat úsporu ve</w:t>
      </w:r>
      <w:r w:rsidR="00BA49A4" w:rsidRPr="00D905A8">
        <w:rPr>
          <w:rFonts w:ascii="Arial" w:hAnsi="Arial" w:cs="Arial"/>
          <w:b/>
          <w:color w:val="002060"/>
        </w:rPr>
        <w:t> srovnání s</w:t>
      </w:r>
      <w:r w:rsidR="00E55605" w:rsidRPr="00D905A8">
        <w:rPr>
          <w:rFonts w:ascii="Arial" w:hAnsi="Arial" w:cs="Arial"/>
          <w:b/>
          <w:color w:val="002060"/>
        </w:rPr>
        <w:t xml:space="preserve"> </w:t>
      </w:r>
      <w:r w:rsidR="00BA49A4" w:rsidRPr="00D905A8">
        <w:rPr>
          <w:rFonts w:ascii="Arial" w:hAnsi="Arial" w:cs="Arial"/>
          <w:b/>
          <w:color w:val="002060"/>
        </w:rPr>
        <w:t>návrhem státního rozpočtu</w:t>
      </w:r>
      <w:r w:rsidR="00E55605" w:rsidRPr="00D905A8">
        <w:rPr>
          <w:rFonts w:ascii="Arial" w:hAnsi="Arial" w:cs="Arial"/>
          <w:b/>
          <w:color w:val="002060"/>
        </w:rPr>
        <w:t xml:space="preserve"> pro rok 2022;</w:t>
      </w:r>
    </w:p>
    <w:p w:rsidR="00BA49A4" w:rsidRPr="00D905A8" w:rsidRDefault="007B4E8D" w:rsidP="00BA49A4">
      <w:pPr>
        <w:pStyle w:val="Odstavecseseznamem"/>
        <w:numPr>
          <w:ilvl w:val="0"/>
          <w:numId w:val="35"/>
        </w:numPr>
        <w:spacing w:after="120" w:line="240" w:lineRule="auto"/>
        <w:ind w:left="567" w:hanging="567"/>
        <w:contextualSpacing w:val="0"/>
        <w:jc w:val="both"/>
        <w:rPr>
          <w:rFonts w:ascii="Arial" w:hAnsi="Arial" w:cs="Arial"/>
          <w:b/>
          <w:color w:val="002060"/>
        </w:rPr>
      </w:pPr>
      <w:r w:rsidRPr="00D905A8">
        <w:rPr>
          <w:rFonts w:ascii="Arial" w:hAnsi="Arial" w:cs="Arial"/>
          <w:b/>
          <w:color w:val="002060"/>
        </w:rPr>
        <w:t xml:space="preserve">dopady změn </w:t>
      </w:r>
      <w:r w:rsidR="00292F7D" w:rsidRPr="00D905A8">
        <w:rPr>
          <w:rFonts w:ascii="Arial" w:hAnsi="Arial" w:cs="Arial"/>
          <w:b/>
          <w:color w:val="002060"/>
        </w:rPr>
        <w:t xml:space="preserve">úprav kompenzací nebudou pro </w:t>
      </w:r>
      <w:r w:rsidRPr="00D905A8">
        <w:rPr>
          <w:rFonts w:ascii="Arial" w:hAnsi="Arial" w:cs="Arial"/>
          <w:b/>
          <w:color w:val="002060"/>
        </w:rPr>
        <w:t>zúčastněné subjekty (dopravce a</w:t>
      </w:r>
      <w:r w:rsidR="00E55605" w:rsidRPr="00D905A8">
        <w:rPr>
          <w:rFonts w:ascii="Arial" w:hAnsi="Arial" w:cs="Arial"/>
          <w:b/>
          <w:color w:val="002060"/>
        </w:rPr>
        <w:t> </w:t>
      </w:r>
      <w:r w:rsidRPr="00D905A8">
        <w:rPr>
          <w:rFonts w:ascii="Arial" w:hAnsi="Arial" w:cs="Arial"/>
          <w:b/>
          <w:color w:val="002060"/>
        </w:rPr>
        <w:t>objednatele regionální dopravy)</w:t>
      </w:r>
      <w:r w:rsidR="00292F7D" w:rsidRPr="00D905A8">
        <w:rPr>
          <w:rFonts w:ascii="Arial" w:hAnsi="Arial" w:cs="Arial"/>
          <w:b/>
          <w:color w:val="002060"/>
        </w:rPr>
        <w:t xml:space="preserve"> natolik zásadní jako u dalších variant</w:t>
      </w:r>
      <w:r w:rsidR="00772FBF" w:rsidRPr="00D905A8">
        <w:rPr>
          <w:rFonts w:ascii="Arial" w:hAnsi="Arial" w:cs="Arial"/>
          <w:b/>
          <w:color w:val="002060"/>
        </w:rPr>
        <w:t xml:space="preserve"> řešení.</w:t>
      </w:r>
    </w:p>
    <w:p w:rsidR="00D905A8" w:rsidRDefault="00D905A8" w:rsidP="00BA49A4">
      <w:pPr>
        <w:rPr>
          <w:rFonts w:ascii="Arial" w:hAnsi="Arial" w:cs="Arial"/>
        </w:rPr>
      </w:pPr>
    </w:p>
    <w:p w:rsidR="00BA49A4" w:rsidRPr="00D905A8" w:rsidRDefault="00BA49A4" w:rsidP="00BA49A4">
      <w:pPr>
        <w:rPr>
          <w:rFonts w:ascii="Arial" w:hAnsi="Arial" w:cs="Arial"/>
        </w:rPr>
      </w:pPr>
      <w:r w:rsidRPr="00D905A8">
        <w:rPr>
          <w:rFonts w:ascii="Arial" w:hAnsi="Arial" w:cs="Arial"/>
        </w:rPr>
        <w:t>Porovnání navrhovaných opatření se stávajícím stavem lze shrnout následovně</w:t>
      </w:r>
      <w:r w:rsidR="002D5BA5" w:rsidRPr="00D905A8">
        <w:rPr>
          <w:rFonts w:ascii="Arial" w:hAnsi="Arial" w:cs="Arial"/>
        </w:rPr>
        <w:t>.</w:t>
      </w:r>
    </w:p>
    <w:p w:rsidR="002D5BA5" w:rsidRPr="00D905A8" w:rsidRDefault="002D5BA5" w:rsidP="00BA49A4">
      <w:pPr>
        <w:rPr>
          <w:rFonts w:ascii="Arial" w:hAnsi="Arial" w:cs="Arial"/>
          <w:b/>
          <w:color w:val="002060"/>
          <w:sz w:val="18"/>
          <w:szCs w:val="18"/>
        </w:rPr>
      </w:pPr>
      <w:r w:rsidRPr="00D905A8">
        <w:rPr>
          <w:rFonts w:ascii="Arial" w:hAnsi="Arial" w:cs="Arial"/>
          <w:b/>
          <w:color w:val="002060"/>
          <w:sz w:val="18"/>
          <w:szCs w:val="18"/>
        </w:rPr>
        <w:t>Tab. 16: Shrnutí výhod a nevýhod navržených úprav</w:t>
      </w:r>
    </w:p>
    <w:tbl>
      <w:tblPr>
        <w:tblStyle w:val="Mkatabulky"/>
        <w:tblW w:w="0" w:type="auto"/>
        <w:tblLook w:val="04A0" w:firstRow="1" w:lastRow="0" w:firstColumn="1" w:lastColumn="0" w:noHBand="0" w:noVBand="1"/>
      </w:tblPr>
      <w:tblGrid>
        <w:gridCol w:w="4521"/>
        <w:gridCol w:w="4521"/>
      </w:tblGrid>
      <w:tr w:rsidR="00BA49A4" w:rsidRPr="00BA49A4" w:rsidTr="00F31055">
        <w:tc>
          <w:tcPr>
            <w:tcW w:w="4531" w:type="dxa"/>
            <w:tcBorders>
              <w:top w:val="single" w:sz="12" w:space="0" w:color="auto"/>
              <w:left w:val="single" w:sz="12" w:space="0" w:color="auto"/>
              <w:bottom w:val="single" w:sz="12" w:space="0" w:color="auto"/>
            </w:tcBorders>
            <w:shd w:val="clear" w:color="auto" w:fill="FFF2CC" w:themeFill="accent4" w:themeFillTint="33"/>
          </w:tcPr>
          <w:p w:rsidR="00BA49A4" w:rsidRPr="00D905A8" w:rsidRDefault="00BA49A4" w:rsidP="002D5BA5">
            <w:pPr>
              <w:jc w:val="center"/>
              <w:rPr>
                <w:rFonts w:ascii="Arial" w:hAnsi="Arial" w:cs="Arial"/>
                <w:b/>
                <w:color w:val="000000" w:themeColor="text1"/>
                <w:sz w:val="18"/>
                <w:szCs w:val="18"/>
              </w:rPr>
            </w:pPr>
            <w:r w:rsidRPr="00D905A8">
              <w:rPr>
                <w:rFonts w:ascii="Arial" w:hAnsi="Arial" w:cs="Arial"/>
                <w:b/>
                <w:color w:val="000000" w:themeColor="text1"/>
                <w:sz w:val="18"/>
                <w:szCs w:val="18"/>
              </w:rPr>
              <w:t>Výhody</w:t>
            </w:r>
          </w:p>
        </w:tc>
        <w:tc>
          <w:tcPr>
            <w:tcW w:w="4531" w:type="dxa"/>
            <w:tcBorders>
              <w:top w:val="single" w:sz="12" w:space="0" w:color="auto"/>
              <w:bottom w:val="single" w:sz="12" w:space="0" w:color="auto"/>
              <w:right w:val="single" w:sz="12" w:space="0" w:color="auto"/>
            </w:tcBorders>
            <w:shd w:val="clear" w:color="auto" w:fill="FFF2CC" w:themeFill="accent4" w:themeFillTint="33"/>
          </w:tcPr>
          <w:p w:rsidR="00BA49A4" w:rsidRPr="00D905A8" w:rsidRDefault="00BA49A4" w:rsidP="002D5BA5">
            <w:pPr>
              <w:jc w:val="center"/>
              <w:rPr>
                <w:rFonts w:ascii="Arial" w:hAnsi="Arial" w:cs="Arial"/>
                <w:b/>
                <w:color w:val="000000" w:themeColor="text1"/>
                <w:sz w:val="18"/>
                <w:szCs w:val="18"/>
              </w:rPr>
            </w:pPr>
            <w:r w:rsidRPr="00D905A8">
              <w:rPr>
                <w:rFonts w:ascii="Arial" w:hAnsi="Arial" w:cs="Arial"/>
                <w:b/>
                <w:color w:val="000000" w:themeColor="text1"/>
                <w:sz w:val="18"/>
                <w:szCs w:val="18"/>
              </w:rPr>
              <w:t>Nevýhody</w:t>
            </w:r>
          </w:p>
        </w:tc>
      </w:tr>
      <w:tr w:rsidR="00BA49A4" w:rsidRPr="00BA49A4" w:rsidTr="00F31055">
        <w:tc>
          <w:tcPr>
            <w:tcW w:w="4531" w:type="dxa"/>
            <w:tcBorders>
              <w:top w:val="single" w:sz="12" w:space="0" w:color="auto"/>
            </w:tcBorders>
          </w:tcPr>
          <w:p w:rsidR="00BA49A4" w:rsidRPr="00D905A8" w:rsidRDefault="002D5BA5" w:rsidP="005600C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Od roku 2023 dojde k </w:t>
            </w:r>
            <w:r w:rsidRPr="00D905A8">
              <w:rPr>
                <w:rFonts w:ascii="Arial" w:hAnsi="Arial" w:cs="Arial"/>
                <w:b/>
                <w:color w:val="002060"/>
                <w:sz w:val="18"/>
                <w:szCs w:val="18"/>
              </w:rPr>
              <w:t xml:space="preserve">významné úspoře finančních prostředků </w:t>
            </w:r>
            <w:r w:rsidRPr="00D905A8">
              <w:rPr>
                <w:rFonts w:ascii="Arial" w:hAnsi="Arial" w:cs="Arial"/>
                <w:color w:val="000000" w:themeColor="text1"/>
                <w:sz w:val="18"/>
                <w:szCs w:val="18"/>
              </w:rPr>
              <w:t>státního rozpočtu vynakládaných na kompenzace slev ve srovnání s</w:t>
            </w:r>
            <w:r w:rsidR="005600CB" w:rsidRPr="00D905A8">
              <w:rPr>
                <w:rFonts w:ascii="Arial" w:hAnsi="Arial" w:cs="Arial"/>
                <w:color w:val="000000" w:themeColor="text1"/>
                <w:sz w:val="18"/>
                <w:szCs w:val="18"/>
              </w:rPr>
              <w:t> předchozím stavem</w:t>
            </w:r>
            <w:r w:rsidRPr="00D905A8">
              <w:rPr>
                <w:rFonts w:ascii="Arial" w:hAnsi="Arial" w:cs="Arial"/>
                <w:color w:val="000000" w:themeColor="text1"/>
                <w:sz w:val="18"/>
                <w:szCs w:val="18"/>
              </w:rPr>
              <w:t>.</w:t>
            </w:r>
            <w:r w:rsidR="00BA49A4" w:rsidRPr="00D905A8">
              <w:rPr>
                <w:rFonts w:ascii="Arial" w:hAnsi="Arial" w:cs="Arial"/>
                <w:color w:val="000000" w:themeColor="text1"/>
                <w:sz w:val="18"/>
                <w:szCs w:val="18"/>
              </w:rPr>
              <w:t xml:space="preserve"> </w:t>
            </w:r>
          </w:p>
        </w:tc>
        <w:tc>
          <w:tcPr>
            <w:tcW w:w="4531" w:type="dxa"/>
            <w:tcBorders>
              <w:top w:val="single" w:sz="12" w:space="0" w:color="auto"/>
            </w:tcBorders>
          </w:tcPr>
          <w:p w:rsidR="00BA49A4" w:rsidRPr="00D905A8" w:rsidRDefault="00BA49A4" w:rsidP="005600CB">
            <w:pPr>
              <w:pStyle w:val="Odstavecseseznamem"/>
              <w:numPr>
                <w:ilvl w:val="0"/>
                <w:numId w:val="37"/>
              </w:numPr>
              <w:spacing w:after="120"/>
              <w:ind w:left="322"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Dotčeným skupinám cestujících se určitým způsobem </w:t>
            </w:r>
            <w:r w:rsidRPr="00D905A8">
              <w:rPr>
                <w:rFonts w:ascii="Arial" w:hAnsi="Arial" w:cs="Arial"/>
                <w:b/>
                <w:color w:val="002060"/>
                <w:sz w:val="18"/>
                <w:szCs w:val="18"/>
              </w:rPr>
              <w:t xml:space="preserve">zdraží cestování </w:t>
            </w:r>
            <w:r w:rsidRPr="00D905A8">
              <w:rPr>
                <w:rFonts w:ascii="Arial" w:hAnsi="Arial" w:cs="Arial"/>
                <w:color w:val="000000" w:themeColor="text1"/>
                <w:sz w:val="18"/>
                <w:szCs w:val="18"/>
              </w:rPr>
              <w:t xml:space="preserve">ve veřejné dopravě </w:t>
            </w:r>
          </w:p>
        </w:tc>
      </w:tr>
      <w:tr w:rsidR="00BA49A4" w:rsidRPr="00BA49A4" w:rsidTr="00BA49A4">
        <w:tc>
          <w:tcPr>
            <w:tcW w:w="4531" w:type="dxa"/>
          </w:tcPr>
          <w:p w:rsidR="00BA49A4" w:rsidRPr="00D905A8" w:rsidRDefault="005600CB" w:rsidP="005600C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Dotčeným skupinám bude i nadále nabízena velmi </w:t>
            </w:r>
            <w:r w:rsidRPr="00D905A8">
              <w:rPr>
                <w:rFonts w:ascii="Arial" w:hAnsi="Arial" w:cs="Arial"/>
                <w:b/>
                <w:color w:val="002060"/>
                <w:sz w:val="18"/>
                <w:szCs w:val="18"/>
              </w:rPr>
              <w:t>atraktivní nabídka slev</w:t>
            </w:r>
            <w:r w:rsidRPr="00D905A8">
              <w:rPr>
                <w:rFonts w:ascii="Arial" w:hAnsi="Arial" w:cs="Arial"/>
                <w:color w:val="000000" w:themeColor="text1"/>
                <w:sz w:val="18"/>
                <w:szCs w:val="18"/>
              </w:rPr>
              <w:t>, která je však úměrná tržní situaci ve veřejné dopravě.</w:t>
            </w:r>
          </w:p>
        </w:tc>
        <w:tc>
          <w:tcPr>
            <w:tcW w:w="4531" w:type="dxa"/>
          </w:tcPr>
          <w:p w:rsidR="00BA49A4" w:rsidRPr="00D905A8" w:rsidRDefault="00891B5B" w:rsidP="00891B5B">
            <w:pPr>
              <w:pStyle w:val="Odstavecseseznamem"/>
              <w:numPr>
                <w:ilvl w:val="0"/>
                <w:numId w:val="37"/>
              </w:numPr>
              <w:spacing w:after="120"/>
              <w:ind w:left="322"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Dojde k </w:t>
            </w:r>
            <w:r w:rsidRPr="00D905A8">
              <w:rPr>
                <w:rFonts w:ascii="Arial" w:hAnsi="Arial" w:cs="Arial"/>
                <w:b/>
                <w:color w:val="002060"/>
                <w:sz w:val="18"/>
                <w:szCs w:val="18"/>
              </w:rPr>
              <w:t>mírným</w:t>
            </w:r>
            <w:r w:rsidR="00BA49A4" w:rsidRPr="00D905A8">
              <w:rPr>
                <w:rFonts w:ascii="Arial" w:hAnsi="Arial" w:cs="Arial"/>
                <w:b/>
                <w:color w:val="002060"/>
                <w:sz w:val="18"/>
                <w:szCs w:val="18"/>
              </w:rPr>
              <w:t xml:space="preserve"> změnám v počtu přepravených cestujících</w:t>
            </w:r>
            <w:r w:rsidR="00BA49A4" w:rsidRPr="00D905A8">
              <w:rPr>
                <w:rFonts w:ascii="Arial" w:hAnsi="Arial" w:cs="Arial"/>
                <w:color w:val="000000" w:themeColor="text1"/>
                <w:sz w:val="18"/>
                <w:szCs w:val="18"/>
              </w:rPr>
              <w:t xml:space="preserve"> veřejnou dopravou na základě nižších intervencí státu</w:t>
            </w:r>
            <w:r w:rsidRPr="00D905A8">
              <w:rPr>
                <w:rFonts w:ascii="Arial" w:hAnsi="Arial" w:cs="Arial"/>
                <w:color w:val="000000" w:themeColor="text1"/>
                <w:sz w:val="18"/>
                <w:szCs w:val="18"/>
              </w:rPr>
              <w:t xml:space="preserve"> v oblasti slev</w:t>
            </w:r>
            <w:r w:rsidR="00BA49A4" w:rsidRPr="00D905A8">
              <w:rPr>
                <w:rFonts w:ascii="Arial" w:hAnsi="Arial" w:cs="Arial"/>
                <w:color w:val="000000" w:themeColor="text1"/>
                <w:sz w:val="18"/>
                <w:szCs w:val="18"/>
              </w:rPr>
              <w:t>.</w:t>
            </w:r>
          </w:p>
        </w:tc>
      </w:tr>
      <w:tr w:rsidR="00BA49A4" w:rsidRPr="00BA49A4" w:rsidTr="00BA49A4">
        <w:tc>
          <w:tcPr>
            <w:tcW w:w="4531" w:type="dxa"/>
          </w:tcPr>
          <w:p w:rsidR="00BA49A4" w:rsidRPr="00D905A8" w:rsidRDefault="005600CB" w:rsidP="005600C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Systém slev s jednotnou 50 % slevou zůstává velmi </w:t>
            </w:r>
            <w:r w:rsidRPr="00D905A8">
              <w:rPr>
                <w:rFonts w:ascii="Arial" w:hAnsi="Arial" w:cs="Arial"/>
                <w:b/>
                <w:color w:val="002060"/>
                <w:sz w:val="18"/>
                <w:szCs w:val="18"/>
              </w:rPr>
              <w:t>jednouchý a přehledný</w:t>
            </w:r>
            <w:r w:rsidRPr="00D905A8">
              <w:rPr>
                <w:rFonts w:ascii="Arial" w:hAnsi="Arial" w:cs="Arial"/>
                <w:color w:val="000000" w:themeColor="text1"/>
                <w:sz w:val="18"/>
                <w:szCs w:val="18"/>
              </w:rPr>
              <w:t>.</w:t>
            </w:r>
          </w:p>
        </w:tc>
        <w:tc>
          <w:tcPr>
            <w:tcW w:w="4531" w:type="dxa"/>
          </w:tcPr>
          <w:p w:rsidR="00BA49A4" w:rsidRPr="00D905A8" w:rsidRDefault="00BA49A4" w:rsidP="005600CB">
            <w:pPr>
              <w:spacing w:after="120"/>
              <w:rPr>
                <w:rFonts w:ascii="Arial" w:hAnsi="Arial" w:cs="Arial"/>
                <w:color w:val="000000" w:themeColor="text1"/>
                <w:sz w:val="18"/>
                <w:szCs w:val="18"/>
              </w:rPr>
            </w:pPr>
          </w:p>
        </w:tc>
      </w:tr>
      <w:tr w:rsidR="005600CB" w:rsidRPr="00BA49A4" w:rsidTr="00BA49A4">
        <w:tc>
          <w:tcPr>
            <w:tcW w:w="4531" w:type="dxa"/>
          </w:tcPr>
          <w:p w:rsidR="005600CB" w:rsidRPr="00D905A8" w:rsidRDefault="005600CB" w:rsidP="005600C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Ve srovnání se stávajícím stavem, kdy ¾ ceny jízdenky pro skupiny cestujících požívajících státní slevy platí stát, výrazným způsobem omezuje možnosti </w:t>
            </w:r>
            <w:r w:rsidRPr="00D905A8">
              <w:rPr>
                <w:rFonts w:ascii="Arial" w:hAnsi="Arial" w:cs="Arial"/>
                <w:b/>
                <w:color w:val="002060"/>
                <w:sz w:val="18"/>
                <w:szCs w:val="18"/>
              </w:rPr>
              <w:t xml:space="preserve">obcházení systému </w:t>
            </w:r>
            <w:r w:rsidR="00891B5B" w:rsidRPr="00D905A8">
              <w:rPr>
                <w:rFonts w:ascii="Arial" w:hAnsi="Arial" w:cs="Arial"/>
                <w:b/>
                <w:color w:val="002060"/>
                <w:sz w:val="18"/>
                <w:szCs w:val="18"/>
              </w:rPr>
              <w:t>ze strany dopravců</w:t>
            </w:r>
            <w:r w:rsidRPr="00D905A8">
              <w:rPr>
                <w:rFonts w:ascii="Arial" w:hAnsi="Arial" w:cs="Arial"/>
                <w:b/>
                <w:color w:val="002060"/>
                <w:sz w:val="18"/>
                <w:szCs w:val="18"/>
              </w:rPr>
              <w:t>.</w:t>
            </w:r>
          </w:p>
        </w:tc>
        <w:tc>
          <w:tcPr>
            <w:tcW w:w="4531" w:type="dxa"/>
          </w:tcPr>
          <w:p w:rsidR="005600CB" w:rsidRPr="00D905A8" w:rsidRDefault="005600CB" w:rsidP="005600CB">
            <w:pPr>
              <w:spacing w:after="120"/>
              <w:rPr>
                <w:rFonts w:ascii="Arial" w:hAnsi="Arial" w:cs="Arial"/>
                <w:color w:val="000000" w:themeColor="text1"/>
                <w:sz w:val="18"/>
                <w:szCs w:val="18"/>
              </w:rPr>
            </w:pPr>
          </w:p>
        </w:tc>
      </w:tr>
      <w:tr w:rsidR="005600CB" w:rsidRPr="00BA49A4" w:rsidTr="00BA49A4">
        <w:tc>
          <w:tcPr>
            <w:tcW w:w="4531" w:type="dxa"/>
          </w:tcPr>
          <w:p w:rsidR="005600CB" w:rsidRPr="00D905A8" w:rsidRDefault="005600CB" w:rsidP="00891B5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Omezí se pořizování </w:t>
            </w:r>
            <w:r w:rsidRPr="00D905A8">
              <w:rPr>
                <w:rFonts w:ascii="Arial" w:hAnsi="Arial" w:cs="Arial"/>
                <w:b/>
                <w:color w:val="002060"/>
                <w:sz w:val="18"/>
                <w:szCs w:val="18"/>
              </w:rPr>
              <w:t xml:space="preserve">vícenásobných </w:t>
            </w:r>
            <w:r w:rsidR="00891B5B" w:rsidRPr="00D905A8">
              <w:rPr>
                <w:rFonts w:ascii="Arial" w:hAnsi="Arial" w:cs="Arial"/>
                <w:b/>
                <w:color w:val="002060"/>
                <w:sz w:val="18"/>
                <w:szCs w:val="18"/>
              </w:rPr>
              <w:t xml:space="preserve">slevových </w:t>
            </w:r>
            <w:r w:rsidRPr="00D905A8">
              <w:rPr>
                <w:rFonts w:ascii="Arial" w:hAnsi="Arial" w:cs="Arial"/>
                <w:b/>
                <w:color w:val="002060"/>
                <w:sz w:val="18"/>
                <w:szCs w:val="18"/>
              </w:rPr>
              <w:t>jízdních dokladů</w:t>
            </w:r>
            <w:r w:rsidRPr="00D905A8">
              <w:rPr>
                <w:rFonts w:ascii="Arial" w:hAnsi="Arial" w:cs="Arial"/>
                <w:color w:val="000000" w:themeColor="text1"/>
                <w:sz w:val="18"/>
                <w:szCs w:val="18"/>
              </w:rPr>
              <w:t xml:space="preserve">, které cestující </w:t>
            </w:r>
            <w:r w:rsidR="00891B5B" w:rsidRPr="00D905A8">
              <w:rPr>
                <w:rFonts w:ascii="Arial" w:hAnsi="Arial" w:cs="Arial"/>
                <w:color w:val="000000" w:themeColor="text1"/>
                <w:sz w:val="18"/>
                <w:szCs w:val="18"/>
              </w:rPr>
              <w:t xml:space="preserve">následně </w:t>
            </w:r>
            <w:r w:rsidRPr="00D905A8">
              <w:rPr>
                <w:rFonts w:ascii="Arial" w:hAnsi="Arial" w:cs="Arial"/>
                <w:color w:val="000000" w:themeColor="text1"/>
                <w:sz w:val="18"/>
                <w:szCs w:val="18"/>
              </w:rPr>
              <w:t>ani nevyužije, ale stát z veřejných prostředků uhradí jejich plnou cenu.</w:t>
            </w:r>
          </w:p>
        </w:tc>
        <w:tc>
          <w:tcPr>
            <w:tcW w:w="4531" w:type="dxa"/>
          </w:tcPr>
          <w:p w:rsidR="005600CB" w:rsidRPr="00D905A8" w:rsidRDefault="005600CB" w:rsidP="005600CB">
            <w:pPr>
              <w:spacing w:after="120"/>
              <w:rPr>
                <w:rFonts w:ascii="Arial" w:hAnsi="Arial" w:cs="Arial"/>
                <w:color w:val="000000" w:themeColor="text1"/>
                <w:sz w:val="18"/>
                <w:szCs w:val="18"/>
              </w:rPr>
            </w:pPr>
          </w:p>
        </w:tc>
      </w:tr>
      <w:tr w:rsidR="00BA49A4" w:rsidRPr="00BA49A4" w:rsidTr="00BA49A4">
        <w:tc>
          <w:tcPr>
            <w:tcW w:w="4531" w:type="dxa"/>
          </w:tcPr>
          <w:p w:rsidR="00BA49A4" w:rsidRPr="00D905A8" w:rsidRDefault="002D5BA5" w:rsidP="005600C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Dojde ke </w:t>
            </w:r>
            <w:r w:rsidRPr="00D905A8">
              <w:rPr>
                <w:rFonts w:ascii="Arial" w:hAnsi="Arial" w:cs="Arial"/>
                <w:b/>
                <w:color w:val="002060"/>
                <w:sz w:val="18"/>
                <w:szCs w:val="18"/>
              </w:rPr>
              <w:t>zvýhodnění rodin s více dětmi</w:t>
            </w:r>
            <w:r w:rsidRPr="00D905A8">
              <w:rPr>
                <w:rFonts w:ascii="Arial" w:hAnsi="Arial" w:cs="Arial"/>
                <w:color w:val="000000" w:themeColor="text1"/>
                <w:sz w:val="18"/>
                <w:szCs w:val="18"/>
              </w:rPr>
              <w:t xml:space="preserve"> a zjednodušení systému pro rodinné cestování.</w:t>
            </w:r>
          </w:p>
        </w:tc>
        <w:tc>
          <w:tcPr>
            <w:tcW w:w="4531" w:type="dxa"/>
          </w:tcPr>
          <w:p w:rsidR="00BA49A4" w:rsidRPr="00D905A8" w:rsidRDefault="00BA49A4" w:rsidP="005600CB">
            <w:pPr>
              <w:spacing w:after="120"/>
              <w:rPr>
                <w:rFonts w:ascii="Arial" w:hAnsi="Arial" w:cs="Arial"/>
                <w:color w:val="000000" w:themeColor="text1"/>
                <w:sz w:val="18"/>
                <w:szCs w:val="18"/>
              </w:rPr>
            </w:pPr>
          </w:p>
        </w:tc>
      </w:tr>
      <w:tr w:rsidR="00BA49A4" w:rsidRPr="00BA49A4" w:rsidTr="00BA49A4">
        <w:tc>
          <w:tcPr>
            <w:tcW w:w="4531" w:type="dxa"/>
          </w:tcPr>
          <w:p w:rsidR="00BA49A4" w:rsidRPr="00D905A8" w:rsidRDefault="002D5BA5" w:rsidP="00891B5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 xml:space="preserve">Systém slev se více zaměří na </w:t>
            </w:r>
            <w:r w:rsidRPr="00D905A8">
              <w:rPr>
                <w:rFonts w:ascii="Arial" w:hAnsi="Arial" w:cs="Arial"/>
                <w:b/>
                <w:color w:val="002060"/>
                <w:sz w:val="18"/>
                <w:szCs w:val="18"/>
              </w:rPr>
              <w:t xml:space="preserve">potřebnost a vhodnost </w:t>
            </w:r>
            <w:r w:rsidRPr="00D905A8">
              <w:rPr>
                <w:rFonts w:ascii="Arial" w:hAnsi="Arial" w:cs="Arial"/>
                <w:color w:val="000000" w:themeColor="text1"/>
                <w:sz w:val="18"/>
                <w:szCs w:val="18"/>
              </w:rPr>
              <w:t>slevových úlev namísto plošného zaměření slev. Nově bude posouzena i možnost zavedení slevy pro osoby s invaliditou III. stupně.</w:t>
            </w:r>
          </w:p>
        </w:tc>
        <w:tc>
          <w:tcPr>
            <w:tcW w:w="4531" w:type="dxa"/>
          </w:tcPr>
          <w:p w:rsidR="00BA49A4" w:rsidRPr="00D905A8" w:rsidRDefault="00BA49A4" w:rsidP="005600CB">
            <w:pPr>
              <w:spacing w:after="120"/>
              <w:rPr>
                <w:rFonts w:ascii="Arial" w:hAnsi="Arial" w:cs="Arial"/>
                <w:color w:val="000000" w:themeColor="text1"/>
                <w:sz w:val="18"/>
                <w:szCs w:val="18"/>
              </w:rPr>
            </w:pPr>
          </w:p>
        </w:tc>
      </w:tr>
      <w:tr w:rsidR="00BA49A4" w:rsidRPr="00BA49A4" w:rsidTr="00BA49A4">
        <w:tc>
          <w:tcPr>
            <w:tcW w:w="4531" w:type="dxa"/>
          </w:tcPr>
          <w:p w:rsidR="00BA49A4" w:rsidRPr="00D905A8" w:rsidRDefault="00BA49A4" w:rsidP="00891B5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color w:val="000000" w:themeColor="text1"/>
                <w:sz w:val="18"/>
                <w:szCs w:val="18"/>
              </w:rPr>
              <w:t>Dopady změn na zúčastněné subjekty (dopravce a objednatele regionální dopravy)</w:t>
            </w:r>
            <w:r w:rsidR="002D5BA5" w:rsidRPr="00D905A8">
              <w:rPr>
                <w:rFonts w:ascii="Arial" w:hAnsi="Arial" w:cs="Arial"/>
                <w:color w:val="000000" w:themeColor="text1"/>
                <w:sz w:val="18"/>
                <w:szCs w:val="18"/>
              </w:rPr>
              <w:t xml:space="preserve"> </w:t>
            </w:r>
            <w:r w:rsidR="002D5BA5" w:rsidRPr="00D905A8">
              <w:rPr>
                <w:rFonts w:ascii="Arial" w:hAnsi="Arial" w:cs="Arial"/>
                <w:b/>
                <w:color w:val="002060"/>
                <w:sz w:val="18"/>
                <w:szCs w:val="18"/>
              </w:rPr>
              <w:t>budou zvládnutelné</w:t>
            </w:r>
            <w:r w:rsidRPr="00D905A8">
              <w:rPr>
                <w:rFonts w:ascii="Arial" w:hAnsi="Arial" w:cs="Arial"/>
                <w:b/>
                <w:color w:val="002060"/>
                <w:sz w:val="18"/>
                <w:szCs w:val="18"/>
              </w:rPr>
              <w:t>.</w:t>
            </w:r>
            <w:r w:rsidR="002D5BA5" w:rsidRPr="00D905A8">
              <w:rPr>
                <w:rFonts w:ascii="Arial" w:hAnsi="Arial" w:cs="Arial"/>
                <w:b/>
                <w:color w:val="002060"/>
                <w:sz w:val="18"/>
                <w:szCs w:val="18"/>
              </w:rPr>
              <w:t xml:space="preserve"> </w:t>
            </w:r>
          </w:p>
        </w:tc>
        <w:tc>
          <w:tcPr>
            <w:tcW w:w="4531" w:type="dxa"/>
          </w:tcPr>
          <w:p w:rsidR="00BA49A4" w:rsidRPr="00D905A8" w:rsidRDefault="00BA49A4" w:rsidP="005600CB">
            <w:pPr>
              <w:spacing w:after="120"/>
              <w:rPr>
                <w:rFonts w:ascii="Arial" w:hAnsi="Arial" w:cs="Arial"/>
                <w:color w:val="000000" w:themeColor="text1"/>
                <w:sz w:val="18"/>
                <w:szCs w:val="18"/>
              </w:rPr>
            </w:pPr>
          </w:p>
        </w:tc>
      </w:tr>
      <w:tr w:rsidR="00891B5B" w:rsidRPr="00BA49A4" w:rsidTr="00BA49A4">
        <w:tc>
          <w:tcPr>
            <w:tcW w:w="4531" w:type="dxa"/>
          </w:tcPr>
          <w:p w:rsidR="00891B5B" w:rsidRPr="00D905A8" w:rsidRDefault="00891B5B" w:rsidP="005600CB">
            <w:pPr>
              <w:pStyle w:val="Odstavecseseznamem"/>
              <w:numPr>
                <w:ilvl w:val="0"/>
                <w:numId w:val="38"/>
              </w:numPr>
              <w:spacing w:after="120"/>
              <w:ind w:left="316" w:hanging="284"/>
              <w:contextualSpacing w:val="0"/>
              <w:rPr>
                <w:rFonts w:ascii="Arial" w:hAnsi="Arial" w:cs="Arial"/>
                <w:color w:val="000000" w:themeColor="text1"/>
                <w:sz w:val="18"/>
                <w:szCs w:val="18"/>
              </w:rPr>
            </w:pPr>
            <w:r w:rsidRPr="00D905A8">
              <w:rPr>
                <w:rFonts w:ascii="Arial" w:hAnsi="Arial" w:cs="Arial"/>
                <w:b/>
                <w:color w:val="002060"/>
                <w:sz w:val="18"/>
                <w:szCs w:val="18"/>
              </w:rPr>
              <w:t>Omezí se přeplňování spojů</w:t>
            </w:r>
            <w:r w:rsidRPr="00D905A8">
              <w:rPr>
                <w:rFonts w:ascii="Arial" w:hAnsi="Arial" w:cs="Arial"/>
                <w:color w:val="000000" w:themeColor="text1"/>
                <w:sz w:val="18"/>
                <w:szCs w:val="18"/>
              </w:rPr>
              <w:t xml:space="preserve"> ve špičkových hodinách, které bylo před vypuknutím pandemie COVID-19 běžné a infrastruktura provoz dalších dopravních služeb nepojmula.</w:t>
            </w:r>
          </w:p>
        </w:tc>
        <w:tc>
          <w:tcPr>
            <w:tcW w:w="4531" w:type="dxa"/>
          </w:tcPr>
          <w:p w:rsidR="00891B5B" w:rsidRPr="00D905A8" w:rsidRDefault="00891B5B" w:rsidP="005600CB">
            <w:pPr>
              <w:spacing w:after="120"/>
              <w:rPr>
                <w:rFonts w:ascii="Arial" w:hAnsi="Arial" w:cs="Arial"/>
                <w:color w:val="000000" w:themeColor="text1"/>
                <w:sz w:val="18"/>
                <w:szCs w:val="18"/>
              </w:rPr>
            </w:pPr>
          </w:p>
        </w:tc>
      </w:tr>
    </w:tbl>
    <w:p w:rsidR="00E55605" w:rsidRPr="00E55605" w:rsidRDefault="00E55605" w:rsidP="00E55605">
      <w:pPr>
        <w:spacing w:after="120" w:line="240" w:lineRule="auto"/>
        <w:jc w:val="both"/>
        <w:rPr>
          <w:rFonts w:ascii="Arial" w:hAnsi="Arial" w:cs="Arial"/>
          <w:b/>
          <w:color w:val="C00000"/>
        </w:rPr>
      </w:pPr>
    </w:p>
    <w:p w:rsidR="00772FBF" w:rsidRPr="00D905A8" w:rsidRDefault="00772FBF" w:rsidP="00776DD9">
      <w:pPr>
        <w:spacing w:after="120" w:line="240" w:lineRule="auto"/>
        <w:jc w:val="both"/>
        <w:rPr>
          <w:rFonts w:ascii="Arial" w:hAnsi="Arial" w:cs="Arial"/>
          <w:b/>
          <w:color w:val="002060"/>
        </w:rPr>
      </w:pPr>
      <w:r w:rsidRPr="00D905A8">
        <w:rPr>
          <w:rFonts w:ascii="Arial" w:hAnsi="Arial" w:cs="Arial"/>
          <w:b/>
          <w:color w:val="002060"/>
        </w:rPr>
        <w:t>V případě shody nad navrženým řešením doporučuje Ministerstvo dopravy rozhodnout o</w:t>
      </w:r>
      <w:r w:rsidR="00776DD9" w:rsidRPr="00D905A8">
        <w:rPr>
          <w:rFonts w:ascii="Arial" w:hAnsi="Arial" w:cs="Arial"/>
          <w:b/>
          <w:color w:val="002060"/>
        </w:rPr>
        <w:t> </w:t>
      </w:r>
      <w:r w:rsidRPr="00D905A8">
        <w:rPr>
          <w:rFonts w:ascii="Arial" w:hAnsi="Arial" w:cs="Arial"/>
          <w:b/>
          <w:color w:val="002060"/>
        </w:rPr>
        <w:t xml:space="preserve">změnách </w:t>
      </w:r>
      <w:r w:rsidR="007131AC" w:rsidRPr="00D905A8">
        <w:rPr>
          <w:rFonts w:ascii="Arial" w:hAnsi="Arial" w:cs="Arial"/>
          <w:b/>
          <w:color w:val="002060"/>
        </w:rPr>
        <w:t>výše</w:t>
      </w:r>
      <w:r w:rsidRPr="00D905A8">
        <w:rPr>
          <w:rFonts w:ascii="Arial" w:hAnsi="Arial" w:cs="Arial"/>
          <w:b/>
          <w:color w:val="002060"/>
        </w:rPr>
        <w:t xml:space="preserve"> slev </w:t>
      </w:r>
      <w:r w:rsidR="00776DD9" w:rsidRPr="00D905A8">
        <w:rPr>
          <w:rFonts w:ascii="Arial" w:hAnsi="Arial" w:cs="Arial"/>
          <w:b/>
          <w:color w:val="002060"/>
        </w:rPr>
        <w:t>ve veřejné</w:t>
      </w:r>
      <w:r w:rsidR="00850B71" w:rsidRPr="00D905A8">
        <w:rPr>
          <w:rFonts w:ascii="Arial" w:hAnsi="Arial" w:cs="Arial"/>
          <w:b/>
          <w:color w:val="002060"/>
        </w:rPr>
        <w:t xml:space="preserve"> dopravě s termínem účinnosti k 1. dubnu</w:t>
      </w:r>
      <w:r w:rsidRPr="00D905A8">
        <w:rPr>
          <w:rFonts w:ascii="Arial" w:hAnsi="Arial" w:cs="Arial"/>
          <w:b/>
          <w:color w:val="002060"/>
        </w:rPr>
        <w:t xml:space="preserve"> 2022 a</w:t>
      </w:r>
      <w:r w:rsidR="00F31055" w:rsidRPr="00D905A8">
        <w:rPr>
          <w:rFonts w:ascii="Arial" w:hAnsi="Arial" w:cs="Arial"/>
          <w:b/>
          <w:color w:val="002060"/>
        </w:rPr>
        <w:t> </w:t>
      </w:r>
      <w:r w:rsidRPr="00D905A8">
        <w:rPr>
          <w:rFonts w:ascii="Arial" w:hAnsi="Arial" w:cs="Arial"/>
          <w:b/>
          <w:color w:val="002060"/>
        </w:rPr>
        <w:t>v</w:t>
      </w:r>
      <w:r w:rsidR="00776DD9" w:rsidRPr="00D905A8">
        <w:rPr>
          <w:rFonts w:ascii="Arial" w:hAnsi="Arial" w:cs="Arial"/>
          <w:b/>
          <w:color w:val="002060"/>
        </w:rPr>
        <w:t> </w:t>
      </w:r>
      <w:r w:rsidRPr="00D905A8">
        <w:rPr>
          <w:rFonts w:ascii="Arial" w:hAnsi="Arial" w:cs="Arial"/>
          <w:b/>
          <w:color w:val="002060"/>
        </w:rPr>
        <w:t>mezidobí</w:t>
      </w:r>
      <w:r w:rsidR="00776DD9" w:rsidRPr="00D905A8">
        <w:rPr>
          <w:rFonts w:ascii="Arial" w:hAnsi="Arial" w:cs="Arial"/>
          <w:b/>
          <w:color w:val="002060"/>
        </w:rPr>
        <w:t xml:space="preserve"> přistoupit</w:t>
      </w:r>
      <w:r w:rsidRPr="00D905A8">
        <w:rPr>
          <w:rFonts w:ascii="Arial" w:hAnsi="Arial" w:cs="Arial"/>
          <w:b/>
          <w:color w:val="002060"/>
        </w:rPr>
        <w:t xml:space="preserve">: </w:t>
      </w:r>
    </w:p>
    <w:p w:rsidR="00772FBF" w:rsidRPr="00D905A8" w:rsidRDefault="00776DD9" w:rsidP="00E55605">
      <w:pPr>
        <w:pStyle w:val="Odstavecseseznamem"/>
        <w:numPr>
          <w:ilvl w:val="0"/>
          <w:numId w:val="36"/>
        </w:numPr>
        <w:spacing w:after="120" w:line="240" w:lineRule="auto"/>
        <w:ind w:left="567" w:hanging="567"/>
        <w:contextualSpacing w:val="0"/>
        <w:jc w:val="both"/>
        <w:rPr>
          <w:rFonts w:ascii="Arial" w:hAnsi="Arial" w:cs="Arial"/>
          <w:b/>
          <w:color w:val="002060"/>
        </w:rPr>
      </w:pPr>
      <w:r w:rsidRPr="00D905A8">
        <w:rPr>
          <w:rFonts w:ascii="Arial" w:hAnsi="Arial" w:cs="Arial"/>
          <w:b/>
          <w:color w:val="002060"/>
        </w:rPr>
        <w:t xml:space="preserve">ke změně </w:t>
      </w:r>
      <w:r w:rsidR="00772FBF" w:rsidRPr="00D905A8">
        <w:rPr>
          <w:rFonts w:ascii="Arial" w:hAnsi="Arial" w:cs="Arial"/>
          <w:b/>
          <w:color w:val="002060"/>
        </w:rPr>
        <w:t xml:space="preserve">usnesení vlády </w:t>
      </w:r>
      <w:r w:rsidRPr="00D905A8">
        <w:rPr>
          <w:rFonts w:ascii="Arial" w:hAnsi="Arial" w:cs="Arial"/>
          <w:b/>
          <w:color w:val="002060"/>
        </w:rPr>
        <w:t xml:space="preserve">ČR </w:t>
      </w:r>
      <w:r w:rsidR="00772FBF" w:rsidRPr="00D905A8">
        <w:rPr>
          <w:rFonts w:ascii="Arial" w:hAnsi="Arial" w:cs="Arial"/>
          <w:b/>
          <w:color w:val="002060"/>
        </w:rPr>
        <w:t>ze dne 27. března 2018 č. 206</w:t>
      </w:r>
      <w:r w:rsidR="007131AC" w:rsidRPr="00D905A8">
        <w:rPr>
          <w:rFonts w:ascii="Arial" w:hAnsi="Arial" w:cs="Arial"/>
          <w:b/>
          <w:color w:val="002060"/>
        </w:rPr>
        <w:t>, o zavedení nové slevy z jízdného ve vlacích a autobusech pro seniory, děti, žáky a studenty</w:t>
      </w:r>
      <w:r w:rsidRPr="00D905A8">
        <w:rPr>
          <w:rFonts w:ascii="Arial" w:hAnsi="Arial" w:cs="Arial"/>
          <w:b/>
          <w:color w:val="002060"/>
        </w:rPr>
        <w:t>;</w:t>
      </w:r>
    </w:p>
    <w:p w:rsidR="00CE028E" w:rsidRPr="00D905A8" w:rsidRDefault="00CE028E" w:rsidP="00E55605">
      <w:pPr>
        <w:pStyle w:val="Odstavecseseznamem"/>
        <w:numPr>
          <w:ilvl w:val="0"/>
          <w:numId w:val="36"/>
        </w:numPr>
        <w:spacing w:after="120" w:line="240" w:lineRule="auto"/>
        <w:ind w:left="567" w:hanging="567"/>
        <w:contextualSpacing w:val="0"/>
        <w:jc w:val="both"/>
        <w:rPr>
          <w:rFonts w:ascii="Arial" w:hAnsi="Arial" w:cs="Arial"/>
          <w:b/>
          <w:color w:val="002060"/>
        </w:rPr>
      </w:pPr>
      <w:r w:rsidRPr="00D905A8">
        <w:rPr>
          <w:rFonts w:ascii="Arial" w:hAnsi="Arial" w:cs="Arial"/>
          <w:b/>
          <w:color w:val="002060"/>
        </w:rPr>
        <w:t xml:space="preserve">k úpravě rozsahu finančních prostředků ve státním rozpočtu pro úhradu kompenzací slev (jak je uvedeno v tabulce 14); </w:t>
      </w:r>
    </w:p>
    <w:p w:rsidR="00772FBF" w:rsidRPr="00D905A8" w:rsidRDefault="00772FBF" w:rsidP="00E55605">
      <w:pPr>
        <w:pStyle w:val="Odstavecseseznamem"/>
        <w:numPr>
          <w:ilvl w:val="0"/>
          <w:numId w:val="36"/>
        </w:numPr>
        <w:spacing w:after="120" w:line="240" w:lineRule="auto"/>
        <w:ind w:left="567" w:hanging="567"/>
        <w:contextualSpacing w:val="0"/>
        <w:jc w:val="both"/>
        <w:rPr>
          <w:rFonts w:ascii="Arial" w:hAnsi="Arial" w:cs="Arial"/>
          <w:b/>
          <w:color w:val="002060"/>
        </w:rPr>
      </w:pPr>
      <w:r w:rsidRPr="00D905A8">
        <w:rPr>
          <w:rFonts w:ascii="Arial" w:hAnsi="Arial" w:cs="Arial"/>
          <w:b/>
          <w:color w:val="002060"/>
        </w:rPr>
        <w:t xml:space="preserve">ze strany Ministerstva financí </w:t>
      </w:r>
      <w:r w:rsidR="00776DD9" w:rsidRPr="00D905A8">
        <w:rPr>
          <w:rFonts w:ascii="Arial" w:hAnsi="Arial" w:cs="Arial"/>
          <w:b/>
          <w:color w:val="002060"/>
        </w:rPr>
        <w:t>ke změně</w:t>
      </w:r>
      <w:r w:rsidRPr="00D905A8">
        <w:rPr>
          <w:rFonts w:ascii="Arial" w:hAnsi="Arial" w:cs="Arial"/>
          <w:b/>
          <w:color w:val="002060"/>
        </w:rPr>
        <w:t xml:space="preserve"> výměr</w:t>
      </w:r>
      <w:r w:rsidR="00776DD9" w:rsidRPr="00D905A8">
        <w:rPr>
          <w:rFonts w:ascii="Arial" w:hAnsi="Arial" w:cs="Arial"/>
          <w:b/>
          <w:color w:val="002060"/>
        </w:rPr>
        <w:t>u</w:t>
      </w:r>
      <w:r w:rsidRPr="00D905A8">
        <w:rPr>
          <w:rFonts w:ascii="Arial" w:hAnsi="Arial" w:cs="Arial"/>
          <w:b/>
          <w:color w:val="002060"/>
        </w:rPr>
        <w:t xml:space="preserve"> č. 01/2022, kterým se vydává seznam zboží s regulovanými cenami</w:t>
      </w:r>
      <w:r w:rsidR="00776DD9" w:rsidRPr="00D905A8">
        <w:rPr>
          <w:rFonts w:ascii="Arial" w:hAnsi="Arial" w:cs="Arial"/>
          <w:b/>
          <w:color w:val="002060"/>
        </w:rPr>
        <w:t>;</w:t>
      </w:r>
    </w:p>
    <w:p w:rsidR="00772FBF" w:rsidRPr="00D905A8" w:rsidRDefault="00776DD9" w:rsidP="00E55605">
      <w:pPr>
        <w:pStyle w:val="Odstavecseseznamem"/>
        <w:numPr>
          <w:ilvl w:val="0"/>
          <w:numId w:val="36"/>
        </w:numPr>
        <w:spacing w:before="120" w:after="120" w:line="240" w:lineRule="auto"/>
        <w:ind w:left="567" w:hanging="567"/>
        <w:contextualSpacing w:val="0"/>
        <w:jc w:val="both"/>
        <w:rPr>
          <w:rFonts w:ascii="Arial" w:hAnsi="Arial" w:cs="Arial"/>
          <w:b/>
          <w:color w:val="002060"/>
        </w:rPr>
      </w:pPr>
      <w:r w:rsidRPr="00D905A8">
        <w:rPr>
          <w:rFonts w:ascii="Arial" w:hAnsi="Arial" w:cs="Arial"/>
          <w:b/>
          <w:color w:val="002060"/>
        </w:rPr>
        <w:t>z</w:t>
      </w:r>
      <w:r w:rsidR="00772FBF" w:rsidRPr="00D905A8">
        <w:rPr>
          <w:rFonts w:ascii="Arial" w:hAnsi="Arial" w:cs="Arial"/>
          <w:b/>
          <w:color w:val="002060"/>
        </w:rPr>
        <w:t xml:space="preserve">e strany Ministerstva dopravy </w:t>
      </w:r>
      <w:r w:rsidRPr="00D905A8">
        <w:rPr>
          <w:rFonts w:ascii="Arial" w:hAnsi="Arial" w:cs="Arial"/>
          <w:b/>
          <w:color w:val="002060"/>
        </w:rPr>
        <w:t>ke změně</w:t>
      </w:r>
      <w:r w:rsidR="00772FBF" w:rsidRPr="00D905A8">
        <w:rPr>
          <w:rFonts w:ascii="Arial" w:hAnsi="Arial" w:cs="Arial"/>
          <w:b/>
          <w:color w:val="002060"/>
        </w:rPr>
        <w:t xml:space="preserve"> metodick</w:t>
      </w:r>
      <w:r w:rsidRPr="00D905A8">
        <w:rPr>
          <w:rFonts w:ascii="Arial" w:hAnsi="Arial" w:cs="Arial"/>
          <w:b/>
          <w:color w:val="002060"/>
        </w:rPr>
        <w:t xml:space="preserve">ých </w:t>
      </w:r>
      <w:r w:rsidR="00772FBF" w:rsidRPr="00D905A8">
        <w:rPr>
          <w:rFonts w:ascii="Arial" w:hAnsi="Arial" w:cs="Arial"/>
          <w:b/>
          <w:color w:val="002060"/>
        </w:rPr>
        <w:t>pokyn</w:t>
      </w:r>
      <w:r w:rsidRPr="00D905A8">
        <w:rPr>
          <w:rFonts w:ascii="Arial" w:hAnsi="Arial" w:cs="Arial"/>
          <w:b/>
          <w:color w:val="002060"/>
        </w:rPr>
        <w:t>ů</w:t>
      </w:r>
      <w:r w:rsidR="00772FBF" w:rsidRPr="00D905A8">
        <w:rPr>
          <w:rFonts w:ascii="Arial" w:hAnsi="Arial" w:cs="Arial"/>
          <w:b/>
          <w:color w:val="002060"/>
        </w:rPr>
        <w:t xml:space="preserve"> k</w:t>
      </w:r>
      <w:r w:rsidR="007131AC" w:rsidRPr="00D905A8">
        <w:rPr>
          <w:rFonts w:ascii="Arial" w:hAnsi="Arial" w:cs="Arial"/>
          <w:b/>
          <w:color w:val="002060"/>
        </w:rPr>
        <w:t xml:space="preserve"> prokazování </w:t>
      </w:r>
      <w:r w:rsidR="00772FBF" w:rsidRPr="00D905A8">
        <w:rPr>
          <w:rFonts w:ascii="Arial" w:hAnsi="Arial" w:cs="Arial"/>
          <w:b/>
          <w:color w:val="002060"/>
        </w:rPr>
        <w:t xml:space="preserve">slev a </w:t>
      </w:r>
      <w:r w:rsidRPr="00D905A8">
        <w:rPr>
          <w:rFonts w:ascii="Arial" w:hAnsi="Arial" w:cs="Arial"/>
          <w:b/>
          <w:color w:val="002060"/>
        </w:rPr>
        <w:t>úpravě</w:t>
      </w:r>
      <w:r w:rsidR="00772FBF" w:rsidRPr="00D905A8">
        <w:rPr>
          <w:rFonts w:ascii="Arial" w:hAnsi="Arial" w:cs="Arial"/>
          <w:b/>
          <w:color w:val="002060"/>
        </w:rPr>
        <w:t xml:space="preserve"> smluv s dopravci o kompenzacích slev</w:t>
      </w:r>
      <w:r w:rsidR="00E55605" w:rsidRPr="00D905A8">
        <w:rPr>
          <w:rFonts w:ascii="Arial" w:hAnsi="Arial" w:cs="Arial"/>
          <w:b/>
          <w:color w:val="002060"/>
        </w:rPr>
        <w:t>;</w:t>
      </w:r>
    </w:p>
    <w:p w:rsidR="00D22ABA" w:rsidRPr="00D905A8" w:rsidRDefault="002D5BA5" w:rsidP="002D5BA5">
      <w:pPr>
        <w:pStyle w:val="Odstavecseseznamem"/>
        <w:numPr>
          <w:ilvl w:val="0"/>
          <w:numId w:val="36"/>
        </w:numPr>
        <w:spacing w:before="120" w:after="120" w:line="240" w:lineRule="auto"/>
        <w:ind w:left="567" w:hanging="567"/>
        <w:contextualSpacing w:val="0"/>
        <w:jc w:val="both"/>
        <w:rPr>
          <w:rFonts w:ascii="Arial" w:hAnsi="Arial" w:cs="Arial"/>
          <w:b/>
          <w:color w:val="002060"/>
        </w:rPr>
      </w:pPr>
      <w:r w:rsidRPr="00D905A8">
        <w:rPr>
          <w:rFonts w:ascii="Arial" w:hAnsi="Arial" w:cs="Arial"/>
          <w:b/>
          <w:color w:val="002060"/>
        </w:rPr>
        <w:t>ze strany Ministerstva práce a sociálních věcí</w:t>
      </w:r>
      <w:r w:rsidR="00D22ABA" w:rsidRPr="00D905A8">
        <w:rPr>
          <w:rFonts w:ascii="Arial" w:hAnsi="Arial" w:cs="Arial"/>
          <w:b/>
          <w:color w:val="002060"/>
        </w:rPr>
        <w:t xml:space="preserve"> </w:t>
      </w:r>
      <w:r w:rsidRPr="00D905A8">
        <w:rPr>
          <w:rFonts w:ascii="Arial" w:hAnsi="Arial" w:cs="Arial"/>
          <w:b/>
          <w:color w:val="002060"/>
        </w:rPr>
        <w:t xml:space="preserve">k prověření způsobu prokazování </w:t>
      </w:r>
      <w:r w:rsidR="00D22ABA" w:rsidRPr="00D905A8">
        <w:rPr>
          <w:rFonts w:ascii="Arial" w:eastAsia="Times New Roman" w:hAnsi="Arial" w:cs="Arial"/>
          <w:b/>
          <w:color w:val="002060"/>
          <w:lang w:eastAsia="cs-CZ"/>
        </w:rPr>
        <w:t>slevy pro všec</w:t>
      </w:r>
      <w:r w:rsidRPr="00D905A8">
        <w:rPr>
          <w:rFonts w:ascii="Arial" w:eastAsia="Times New Roman" w:hAnsi="Arial" w:cs="Arial"/>
          <w:b/>
          <w:color w:val="002060"/>
          <w:lang w:eastAsia="cs-CZ"/>
        </w:rPr>
        <w:t>hny osoby požívající invalidní důchod</w:t>
      </w:r>
      <w:r w:rsidR="00D22ABA" w:rsidRPr="00D905A8">
        <w:rPr>
          <w:rFonts w:ascii="Arial" w:eastAsia="Times New Roman" w:hAnsi="Arial" w:cs="Arial"/>
          <w:b/>
          <w:color w:val="002060"/>
          <w:lang w:eastAsia="cs-CZ"/>
        </w:rPr>
        <w:t xml:space="preserve"> III. stupně</w:t>
      </w:r>
      <w:r w:rsidR="00F31055" w:rsidRPr="00D905A8">
        <w:rPr>
          <w:rFonts w:ascii="Arial" w:eastAsia="Times New Roman" w:hAnsi="Arial" w:cs="Arial"/>
          <w:b/>
          <w:color w:val="002060"/>
          <w:lang w:eastAsia="cs-CZ"/>
        </w:rPr>
        <w:t>;</w:t>
      </w:r>
      <w:r w:rsidR="00D22ABA" w:rsidRPr="00D905A8">
        <w:rPr>
          <w:rFonts w:ascii="Arial" w:eastAsia="Times New Roman" w:hAnsi="Arial" w:cs="Arial"/>
          <w:b/>
          <w:color w:val="002060"/>
          <w:lang w:eastAsia="cs-CZ"/>
        </w:rPr>
        <w:t xml:space="preserve"> </w:t>
      </w:r>
      <w:r w:rsidRPr="00D905A8">
        <w:rPr>
          <w:rFonts w:ascii="Arial" w:eastAsia="Times New Roman" w:hAnsi="Arial" w:cs="Arial"/>
          <w:b/>
          <w:color w:val="002060"/>
          <w:lang w:eastAsia="cs-CZ"/>
        </w:rPr>
        <w:t xml:space="preserve">bude-li dávka poskytována všem takovým osobám, </w:t>
      </w:r>
      <w:r w:rsidR="00F31055" w:rsidRPr="00D905A8">
        <w:rPr>
          <w:rFonts w:ascii="Arial" w:eastAsia="Times New Roman" w:hAnsi="Arial" w:cs="Arial"/>
          <w:b/>
          <w:color w:val="002060"/>
          <w:lang w:eastAsia="cs-CZ"/>
        </w:rPr>
        <w:t>bude třeba</w:t>
      </w:r>
      <w:r w:rsidR="00D22ABA" w:rsidRPr="00D905A8">
        <w:rPr>
          <w:rFonts w:ascii="Arial" w:eastAsia="Times New Roman" w:hAnsi="Arial" w:cs="Arial"/>
          <w:b/>
          <w:color w:val="002060"/>
          <w:lang w:eastAsia="cs-CZ"/>
        </w:rPr>
        <w:t xml:space="preserve"> stanovit jednotný vzor průkazu či jiného pověření pro kontrolu</w:t>
      </w:r>
      <w:r w:rsidR="0067471A" w:rsidRPr="00D905A8">
        <w:rPr>
          <w:rFonts w:ascii="Arial" w:eastAsia="Times New Roman" w:hAnsi="Arial" w:cs="Arial"/>
          <w:b/>
          <w:color w:val="002060"/>
          <w:lang w:eastAsia="cs-CZ"/>
        </w:rPr>
        <w:t xml:space="preserve"> </w:t>
      </w:r>
      <w:r w:rsidR="00F31055" w:rsidRPr="00D905A8">
        <w:rPr>
          <w:rFonts w:ascii="Arial" w:eastAsia="Times New Roman" w:hAnsi="Arial" w:cs="Arial"/>
          <w:b/>
          <w:color w:val="002060"/>
          <w:lang w:eastAsia="cs-CZ"/>
        </w:rPr>
        <w:t>nároku na slevu, a to pro osoby ze</w:t>
      </w:r>
      <w:r w:rsidR="0067471A" w:rsidRPr="00D905A8">
        <w:rPr>
          <w:rFonts w:ascii="Arial" w:eastAsia="Times New Roman" w:hAnsi="Arial" w:cs="Arial"/>
          <w:b/>
          <w:color w:val="002060"/>
          <w:lang w:eastAsia="cs-CZ"/>
        </w:rPr>
        <w:t xml:space="preserve"> všech členských států E</w:t>
      </w:r>
      <w:r w:rsidR="00F31055" w:rsidRPr="00D905A8">
        <w:rPr>
          <w:rFonts w:ascii="Arial" w:eastAsia="Times New Roman" w:hAnsi="Arial" w:cs="Arial"/>
          <w:b/>
          <w:color w:val="002060"/>
          <w:lang w:eastAsia="cs-CZ"/>
        </w:rPr>
        <w:t>vropské unie</w:t>
      </w:r>
      <w:r w:rsidR="0067471A" w:rsidRPr="00D905A8">
        <w:rPr>
          <w:rFonts w:ascii="Arial" w:eastAsia="Times New Roman" w:hAnsi="Arial" w:cs="Arial"/>
          <w:b/>
          <w:color w:val="002060"/>
          <w:lang w:eastAsia="cs-CZ"/>
        </w:rPr>
        <w:t xml:space="preserve"> </w:t>
      </w:r>
      <w:r w:rsidR="00E55605" w:rsidRPr="00D905A8">
        <w:rPr>
          <w:rFonts w:ascii="Arial" w:eastAsia="Times New Roman" w:hAnsi="Arial" w:cs="Arial"/>
          <w:b/>
          <w:color w:val="002060"/>
          <w:lang w:eastAsia="cs-CZ"/>
        </w:rPr>
        <w:t>(</w:t>
      </w:r>
      <w:r w:rsidR="00805602" w:rsidRPr="00D905A8">
        <w:rPr>
          <w:rFonts w:ascii="Arial" w:eastAsia="Times New Roman" w:hAnsi="Arial" w:cs="Arial"/>
          <w:b/>
          <w:color w:val="002060"/>
          <w:lang w:eastAsia="cs-CZ"/>
        </w:rPr>
        <w:t>pro osoby pobírající ekvivalentní dávku</w:t>
      </w:r>
      <w:r w:rsidR="00E55605" w:rsidRPr="00D905A8">
        <w:rPr>
          <w:rFonts w:ascii="Arial" w:eastAsia="Times New Roman" w:hAnsi="Arial" w:cs="Arial"/>
          <w:b/>
          <w:color w:val="002060"/>
          <w:lang w:eastAsia="cs-CZ"/>
        </w:rPr>
        <w:t xml:space="preserve"> invaliditě III. stupně</w:t>
      </w:r>
      <w:r w:rsidR="00805602" w:rsidRPr="00D905A8">
        <w:rPr>
          <w:rFonts w:ascii="Arial" w:eastAsia="Times New Roman" w:hAnsi="Arial" w:cs="Arial"/>
          <w:b/>
          <w:color w:val="002060"/>
          <w:lang w:eastAsia="cs-CZ"/>
        </w:rPr>
        <w:t>).</w:t>
      </w:r>
    </w:p>
    <w:sectPr w:rsidR="00D22ABA" w:rsidRPr="00D905A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82" w:rsidRDefault="008A6B82" w:rsidP="00680071">
      <w:pPr>
        <w:spacing w:after="0" w:line="240" w:lineRule="auto"/>
      </w:pPr>
      <w:r>
        <w:separator/>
      </w:r>
    </w:p>
  </w:endnote>
  <w:endnote w:type="continuationSeparator" w:id="0">
    <w:p w:rsidR="008A6B82" w:rsidRDefault="008A6B82" w:rsidP="0068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38012728"/>
      <w:docPartObj>
        <w:docPartGallery w:val="Page Numbers (Bottom of Page)"/>
        <w:docPartUnique/>
      </w:docPartObj>
    </w:sdtPr>
    <w:sdtEndPr>
      <w:rPr>
        <w:rFonts w:ascii="Arial" w:hAnsi="Arial" w:cs="Arial"/>
        <w:sz w:val="20"/>
        <w:szCs w:val="20"/>
      </w:rPr>
    </w:sdtEndPr>
    <w:sdtContent>
      <w:p w:rsidR="00D77055" w:rsidRPr="00E55605" w:rsidRDefault="00D77055">
        <w:pPr>
          <w:pStyle w:val="Zpat"/>
          <w:jc w:val="center"/>
          <w:rPr>
            <w:rFonts w:ascii="Arial" w:hAnsi="Arial" w:cs="Arial"/>
            <w:sz w:val="20"/>
            <w:szCs w:val="20"/>
          </w:rPr>
        </w:pPr>
        <w:r w:rsidRPr="00E55605">
          <w:rPr>
            <w:rFonts w:ascii="Arial" w:hAnsi="Arial" w:cs="Arial"/>
            <w:sz w:val="20"/>
            <w:szCs w:val="20"/>
          </w:rPr>
          <w:fldChar w:fldCharType="begin"/>
        </w:r>
        <w:r w:rsidRPr="00E55605">
          <w:rPr>
            <w:rFonts w:ascii="Arial" w:hAnsi="Arial" w:cs="Arial"/>
            <w:sz w:val="20"/>
            <w:szCs w:val="20"/>
          </w:rPr>
          <w:instrText>PAGE   \* MERGEFORMAT</w:instrText>
        </w:r>
        <w:r w:rsidRPr="00E55605">
          <w:rPr>
            <w:rFonts w:ascii="Arial" w:hAnsi="Arial" w:cs="Arial"/>
            <w:sz w:val="20"/>
            <w:szCs w:val="20"/>
          </w:rPr>
          <w:fldChar w:fldCharType="separate"/>
        </w:r>
        <w:r w:rsidR="00BD529A">
          <w:rPr>
            <w:rFonts w:ascii="Arial" w:hAnsi="Arial" w:cs="Arial"/>
            <w:noProof/>
            <w:sz w:val="20"/>
            <w:szCs w:val="20"/>
          </w:rPr>
          <w:t>22</w:t>
        </w:r>
        <w:r w:rsidRPr="00E55605">
          <w:rPr>
            <w:rFonts w:ascii="Arial" w:hAnsi="Arial" w:cs="Arial"/>
            <w:sz w:val="20"/>
            <w:szCs w:val="20"/>
          </w:rPr>
          <w:fldChar w:fldCharType="end"/>
        </w:r>
      </w:p>
    </w:sdtContent>
  </w:sdt>
  <w:p w:rsidR="00D77055" w:rsidRDefault="00D77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82" w:rsidRDefault="008A6B82" w:rsidP="00680071">
      <w:pPr>
        <w:spacing w:after="0" w:line="240" w:lineRule="auto"/>
      </w:pPr>
      <w:r>
        <w:separator/>
      </w:r>
    </w:p>
  </w:footnote>
  <w:footnote w:type="continuationSeparator" w:id="0">
    <w:p w:rsidR="008A6B82" w:rsidRDefault="008A6B82" w:rsidP="00680071">
      <w:pPr>
        <w:spacing w:after="0" w:line="240" w:lineRule="auto"/>
      </w:pPr>
      <w:r>
        <w:continuationSeparator/>
      </w:r>
    </w:p>
  </w:footnote>
  <w:footnote w:id="1">
    <w:p w:rsidR="00D77055" w:rsidRPr="00125783" w:rsidRDefault="00D77055" w:rsidP="001C410D">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Nařízení EP a Rady č. 1370/2007, o veřejných službách v přepravě cestujících a o zrušení nařízení (EHS) č. 1191/69 a č.</w:t>
      </w:r>
      <w:r>
        <w:rPr>
          <w:rFonts w:ascii="Arial" w:hAnsi="Arial" w:cs="Arial"/>
          <w:sz w:val="16"/>
          <w:szCs w:val="16"/>
        </w:rPr>
        <w:t> </w:t>
      </w:r>
      <w:r w:rsidRPr="00125783">
        <w:rPr>
          <w:rFonts w:ascii="Arial" w:hAnsi="Arial" w:cs="Arial"/>
          <w:sz w:val="16"/>
          <w:szCs w:val="16"/>
        </w:rPr>
        <w:t>1107/70, ve znění pozdějších předpisů.</w:t>
      </w:r>
    </w:p>
  </w:footnote>
  <w:footnote w:id="2">
    <w:p w:rsidR="00D77055" w:rsidRPr="00125783" w:rsidRDefault="00D77055" w:rsidP="001C410D">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Článek 3 odst. 2 </w:t>
      </w:r>
      <w:proofErr w:type="gramStart"/>
      <w:r w:rsidRPr="00125783">
        <w:rPr>
          <w:rFonts w:ascii="Arial" w:hAnsi="Arial" w:cs="Arial"/>
          <w:sz w:val="16"/>
          <w:szCs w:val="16"/>
        </w:rPr>
        <w:t>předmětného</w:t>
      </w:r>
      <w:proofErr w:type="gramEnd"/>
      <w:r w:rsidRPr="00125783">
        <w:rPr>
          <w:rFonts w:ascii="Arial" w:hAnsi="Arial" w:cs="Arial"/>
          <w:sz w:val="16"/>
          <w:szCs w:val="16"/>
        </w:rPr>
        <w:t xml:space="preserve"> nařízení č. 1370/2007.</w:t>
      </w:r>
    </w:p>
  </w:footnote>
  <w:footnote w:id="3">
    <w:p w:rsidR="00D77055" w:rsidRPr="00125783" w:rsidRDefault="00D77055" w:rsidP="001C410D">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Postup podle písm. b) je komplikovaný, neboť je velmi složité vyčíslit čisté finanční dopady, které zavedením slev vznikají ve srovnání s (po zavedení slev již reálně neexistující) tržní situací.</w:t>
      </w:r>
    </w:p>
  </w:footnote>
  <w:footnote w:id="4">
    <w:p w:rsidR="00D77055" w:rsidRPr="00125783" w:rsidRDefault="00D77055" w:rsidP="001C410D">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w:t>
      </w:r>
      <w:proofErr w:type="spellStart"/>
      <w:r w:rsidRPr="00125783">
        <w:rPr>
          <w:rFonts w:ascii="Arial" w:hAnsi="Arial" w:cs="Arial"/>
          <w:sz w:val="16"/>
          <w:szCs w:val="16"/>
        </w:rPr>
        <w:t>Ust</w:t>
      </w:r>
      <w:proofErr w:type="spellEnd"/>
      <w:r w:rsidRPr="00125783">
        <w:rPr>
          <w:rFonts w:ascii="Arial" w:hAnsi="Arial" w:cs="Arial"/>
          <w:sz w:val="16"/>
          <w:szCs w:val="16"/>
        </w:rPr>
        <w:t>. § 36 zákona č. 329/2011 Sb., o poskytování dávek osobám se zdravotním postižením, ve znění pozdějších předpisů.</w:t>
      </w:r>
    </w:p>
  </w:footnote>
  <w:footnote w:id="5">
    <w:p w:rsidR="00D77055" w:rsidRPr="00125783" w:rsidRDefault="00D77055" w:rsidP="00C434F9">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Usnesení vlády ze dne 27. března 2018 č. 206 o zavedení nové slevy z jízdného ve vlacích a autobusech pro seniory, děti, žáky a studenty.</w:t>
      </w:r>
    </w:p>
  </w:footnote>
  <w:footnote w:id="6">
    <w:p w:rsidR="00D77055" w:rsidRPr="00125783" w:rsidRDefault="00D77055" w:rsidP="00C434F9">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Pro úplnost je možné doplnit, že vláda však neschválila požadované navýšení systemizace MD o 6 služebních míst pro zajištění administrace slev, tj. uzavírání smluv, proplácení faktur a kontrolu jejich uplatňování a vykazování.</w:t>
      </w:r>
    </w:p>
  </w:footnote>
  <w:footnote w:id="7">
    <w:p w:rsidR="00D77055" w:rsidRPr="00125783" w:rsidRDefault="00D77055" w:rsidP="00C434F9">
      <w:pPr>
        <w:pStyle w:val="Textpoznpodarou"/>
        <w:spacing w:after="60"/>
        <w:rPr>
          <w:rFonts w:ascii="Arial" w:hAnsi="Arial" w:cs="Arial"/>
          <w:sz w:val="16"/>
          <w:szCs w:val="16"/>
        </w:rPr>
      </w:pPr>
      <w:r w:rsidRPr="00125783">
        <w:rPr>
          <w:rStyle w:val="Znakapoznpodarou"/>
          <w:rFonts w:ascii="Arial" w:hAnsi="Arial" w:cs="Arial"/>
          <w:sz w:val="16"/>
          <w:szCs w:val="16"/>
        </w:rPr>
        <w:footnoteRef/>
      </w:r>
      <w:r w:rsidRPr="00125783">
        <w:rPr>
          <w:rFonts w:ascii="Arial" w:hAnsi="Arial" w:cs="Arial"/>
          <w:sz w:val="16"/>
          <w:szCs w:val="16"/>
        </w:rPr>
        <w:t xml:space="preserve"> Jednalo se zejména o případy, kdy MHD jezdí souběžně s linkami příměstské dopravy, což je zcela běžné, a jevilo se jako nelogické, aby na obou dopravních službách byly zcela jiné tarifní podmínky. V rámci cenového výměru byla poskytnuta jistá flexibilita orgánům samosprávy, aby tyto úseky mohyl tarifně sjednotit.</w:t>
      </w:r>
    </w:p>
  </w:footnote>
  <w:footnote w:id="8">
    <w:p w:rsidR="00D77055" w:rsidRPr="00820ECA" w:rsidRDefault="00D77055" w:rsidP="00820ECA">
      <w:pPr>
        <w:pStyle w:val="Textpoznpodarou"/>
        <w:spacing w:after="60"/>
        <w:rPr>
          <w:rFonts w:ascii="Arial" w:hAnsi="Arial" w:cs="Arial"/>
          <w:sz w:val="16"/>
          <w:szCs w:val="16"/>
        </w:rPr>
      </w:pPr>
      <w:r w:rsidRPr="00820ECA">
        <w:rPr>
          <w:rStyle w:val="Znakapoznpodarou"/>
          <w:rFonts w:ascii="Arial" w:hAnsi="Arial" w:cs="Arial"/>
          <w:sz w:val="16"/>
          <w:szCs w:val="16"/>
        </w:rPr>
        <w:footnoteRef/>
      </w:r>
      <w:r w:rsidRPr="00820ECA">
        <w:rPr>
          <w:rFonts w:ascii="Arial" w:hAnsi="Arial" w:cs="Arial"/>
          <w:sz w:val="16"/>
          <w:szCs w:val="16"/>
        </w:rPr>
        <w:t xml:space="preserve"> Šlo tehdy primárně o </w:t>
      </w:r>
      <w:r w:rsidRPr="00820ECA">
        <w:rPr>
          <w:rFonts w:ascii="Arial" w:hAnsi="Arial" w:cs="Arial"/>
          <w:i/>
          <w:sz w:val="16"/>
          <w:szCs w:val="16"/>
        </w:rPr>
        <w:t>„letecký tarif“</w:t>
      </w:r>
      <w:r w:rsidRPr="00820ECA">
        <w:rPr>
          <w:rFonts w:ascii="Arial" w:hAnsi="Arial" w:cs="Arial"/>
          <w:sz w:val="16"/>
          <w:szCs w:val="16"/>
        </w:rPr>
        <w:t xml:space="preserve"> (jízdní doklady s výrazně progresivní cenou v čase), který nabízela společnost Leo Express s.r.o.</w:t>
      </w:r>
    </w:p>
  </w:footnote>
  <w:footnote w:id="9">
    <w:p w:rsidR="00D77055" w:rsidRPr="007045D0" w:rsidRDefault="00D77055" w:rsidP="00DD37AD">
      <w:pPr>
        <w:pStyle w:val="Textpoznpodarou"/>
        <w:spacing w:after="60"/>
        <w:rPr>
          <w:rFonts w:ascii="Arial" w:hAnsi="Arial" w:cs="Arial"/>
          <w:sz w:val="16"/>
          <w:szCs w:val="16"/>
        </w:rPr>
      </w:pPr>
      <w:r w:rsidRPr="007045D0">
        <w:rPr>
          <w:rStyle w:val="Znakapoznpodarou"/>
          <w:rFonts w:ascii="Arial" w:hAnsi="Arial" w:cs="Arial"/>
          <w:sz w:val="16"/>
          <w:szCs w:val="16"/>
        </w:rPr>
        <w:footnoteRef/>
      </w:r>
      <w:r w:rsidRPr="007045D0">
        <w:rPr>
          <w:rFonts w:ascii="Arial" w:hAnsi="Arial" w:cs="Arial"/>
          <w:sz w:val="16"/>
          <w:szCs w:val="16"/>
        </w:rPr>
        <w:t xml:space="preserve"> Dopravci fakturují ztrátu z poskytnutých slev po skončení kalendářního měsíce, jakmile mají stažená data z odbavovacích strojků a rezervačních systémů a vyhodnoceny výstupu v CIS JŘ. Značná část ztrát ze slev pochází z jízdenek prodaných v</w:t>
      </w:r>
      <w:r>
        <w:rPr>
          <w:rFonts w:ascii="Arial" w:hAnsi="Arial" w:cs="Arial"/>
          <w:sz w:val="16"/>
          <w:szCs w:val="16"/>
        </w:rPr>
        <w:t> </w:t>
      </w:r>
      <w:r w:rsidRPr="007045D0">
        <w:rPr>
          <w:rFonts w:ascii="Arial" w:hAnsi="Arial" w:cs="Arial"/>
          <w:sz w:val="16"/>
          <w:szCs w:val="16"/>
        </w:rPr>
        <w:t>rámci integrovaných dopravních systémů, kdy dopravce jízdenku „nevlastní“, k faktuře přikládá sestavu vytvořenou organizátorem IDS na základě výsledků clearingu tržeb. Do něj musí organizátor zahrnout všechny jízdenky ze všech prodejních kanálů (např. i České pošty, která v některých IDS prodává časové kupony), a tak zpracování dat trvá déle. Proto jsou výsledky za IDS dostupné až později a fakturace probíhá standardně v průběhu celého následujícího měsíce (po měsíci, ve</w:t>
      </w:r>
      <w:r>
        <w:rPr>
          <w:rFonts w:ascii="Arial" w:hAnsi="Arial" w:cs="Arial"/>
          <w:sz w:val="16"/>
          <w:szCs w:val="16"/>
        </w:rPr>
        <w:t> </w:t>
      </w:r>
      <w:r w:rsidRPr="007045D0">
        <w:rPr>
          <w:rFonts w:ascii="Arial" w:hAnsi="Arial" w:cs="Arial"/>
          <w:sz w:val="16"/>
          <w:szCs w:val="16"/>
        </w:rPr>
        <w:t>kterém byly slevy poskytnuty). Splatnost faktur je smluvně nastavena na 30 dní od doručení faktury. Proto je standardně hrazena ztráta např. ze září 2021 až v průběhu (celého) listopadu 2021. Úhrady kompenzací (čerpání prostředků státního rozpočtu) tak nekorespondují s obdobím, kdy ztráta vznikla. Ztráty za část listopadu jsou hrazeny až v lednu následujícího roku a z prosince až v únoru.</w:t>
      </w:r>
    </w:p>
  </w:footnote>
  <w:footnote w:id="10">
    <w:p w:rsidR="00D77055" w:rsidRPr="007045D0" w:rsidRDefault="00D77055" w:rsidP="00DD37AD">
      <w:pPr>
        <w:pStyle w:val="Textpoznpodarou"/>
        <w:spacing w:after="60"/>
        <w:rPr>
          <w:rFonts w:ascii="Arial" w:hAnsi="Arial" w:cs="Arial"/>
          <w:sz w:val="16"/>
          <w:szCs w:val="16"/>
        </w:rPr>
      </w:pPr>
      <w:r w:rsidRPr="007045D0">
        <w:rPr>
          <w:rStyle w:val="Znakapoznpodarou"/>
          <w:rFonts w:ascii="Arial" w:hAnsi="Arial" w:cs="Arial"/>
          <w:sz w:val="16"/>
          <w:szCs w:val="16"/>
        </w:rPr>
        <w:footnoteRef/>
      </w:r>
      <w:r w:rsidRPr="007045D0">
        <w:rPr>
          <w:rFonts w:ascii="Arial" w:hAnsi="Arial" w:cs="Arial"/>
          <w:sz w:val="16"/>
          <w:szCs w:val="16"/>
        </w:rPr>
        <w:t xml:space="preserve"> Značná část jízdních dokladů IDS (jednotlivých jízdenek i časových kuponů) je vydaná pouze na výši slevy, bez rozlišení, zda se jedná o dítě/žáka (6-18 let), studenta (18-26 let) nebo seniora (65+)</w:t>
      </w:r>
      <w:r>
        <w:rPr>
          <w:rFonts w:ascii="Arial" w:hAnsi="Arial" w:cs="Arial"/>
          <w:sz w:val="16"/>
          <w:szCs w:val="16"/>
        </w:rPr>
        <w:t>.</w:t>
      </w:r>
    </w:p>
  </w:footnote>
  <w:footnote w:id="11">
    <w:p w:rsidR="00D77055" w:rsidRPr="007045D0" w:rsidRDefault="00D77055" w:rsidP="00A34A12">
      <w:pPr>
        <w:pStyle w:val="Textpoznpodarou"/>
        <w:spacing w:after="120"/>
        <w:rPr>
          <w:rFonts w:ascii="Arial" w:hAnsi="Arial" w:cs="Arial"/>
          <w:sz w:val="16"/>
          <w:szCs w:val="16"/>
        </w:rPr>
      </w:pPr>
      <w:r w:rsidRPr="007045D0">
        <w:rPr>
          <w:rStyle w:val="Znakapoznpodarou"/>
          <w:rFonts w:ascii="Arial" w:hAnsi="Arial" w:cs="Arial"/>
          <w:sz w:val="16"/>
          <w:szCs w:val="16"/>
        </w:rPr>
        <w:footnoteRef/>
      </w:r>
      <w:r w:rsidRPr="007045D0">
        <w:rPr>
          <w:rFonts w:ascii="Arial" w:hAnsi="Arial" w:cs="Arial"/>
          <w:sz w:val="16"/>
          <w:szCs w:val="16"/>
        </w:rPr>
        <w:t xml:space="preserve"> Údaje o rozdělení ztráty mezi jednotlivé kategorie slev nelze považovat za 100 % přesné. Výše uvedený propočet je dělaný proporcionálně, přičemž ale struktura slevových cestujících může být v rámci (dopočítávané) IDS jiná, než v dálkové dopravě. Současně i data z CIS JŘ nelze považovat za 100 % přesná, každý dopravce používá svůj číselník slev, přičemž mnozí si práci zjednodušují a např. místo dvou různých kódů pro bezplatnou přepravu dětí do 6 let a průvodců zdravotně postižených (ZTP/P) používají kód jediný. V menší míře se tak může dít i u dětí (6-18 let) a studentů (18-26 let). Toto zjednodušení často plyne z</w:t>
      </w:r>
      <w:r>
        <w:rPr>
          <w:rFonts w:ascii="Arial" w:hAnsi="Arial" w:cs="Arial"/>
          <w:sz w:val="16"/>
          <w:szCs w:val="16"/>
        </w:rPr>
        <w:t> </w:t>
      </w:r>
      <w:r w:rsidRPr="007045D0">
        <w:rPr>
          <w:rFonts w:ascii="Arial" w:hAnsi="Arial" w:cs="Arial"/>
          <w:sz w:val="16"/>
          <w:szCs w:val="16"/>
        </w:rPr>
        <w:t xml:space="preserve">omezené „kapacity“ elektronických odbavovacích strojků, kam musí mít dopravce nahrán jak svůj vlastní tarif, tak ale obvykle též tarify jednoho nebo více integrovaných dopravních systémů, do kterých je zapojen. Na výpočet ztráty nemá toto zjednodušení žádný vliv, výše slevy (i ztráty) je stejná. Může to však ovlivnit </w:t>
      </w:r>
      <w:proofErr w:type="spellStart"/>
      <w:r w:rsidRPr="007045D0">
        <w:rPr>
          <w:rFonts w:ascii="Arial" w:hAnsi="Arial" w:cs="Arial"/>
          <w:sz w:val="16"/>
          <w:szCs w:val="16"/>
        </w:rPr>
        <w:t>rozpodílování</w:t>
      </w:r>
      <w:proofErr w:type="spellEnd"/>
      <w:r w:rsidRPr="007045D0">
        <w:rPr>
          <w:rFonts w:ascii="Arial" w:hAnsi="Arial" w:cs="Arial"/>
          <w:sz w:val="16"/>
          <w:szCs w:val="16"/>
        </w:rPr>
        <w:t xml:space="preserve"> jednotlivých kategorií s dopadem na</w:t>
      </w:r>
      <w:r>
        <w:rPr>
          <w:rFonts w:ascii="Arial" w:hAnsi="Arial" w:cs="Arial"/>
          <w:sz w:val="16"/>
          <w:szCs w:val="16"/>
        </w:rPr>
        <w:t> </w:t>
      </w:r>
      <w:r w:rsidRPr="007045D0">
        <w:rPr>
          <w:rFonts w:ascii="Arial" w:hAnsi="Arial" w:cs="Arial"/>
          <w:sz w:val="16"/>
          <w:szCs w:val="16"/>
        </w:rPr>
        <w:t>případné reálné úspory při zásahu do výše (nebo podmínek přiznávání) slev pro jednotlivé kategorie cestujících</w:t>
      </w:r>
      <w:r>
        <w:rPr>
          <w:rFonts w:ascii="Arial" w:hAnsi="Arial" w:cs="Arial"/>
          <w:sz w:val="16"/>
          <w:szCs w:val="16"/>
        </w:rPr>
        <w:t>.</w:t>
      </w:r>
    </w:p>
  </w:footnote>
  <w:footnote w:id="12">
    <w:p w:rsidR="00D77055" w:rsidRPr="00D905A8" w:rsidRDefault="00D77055">
      <w:pPr>
        <w:pStyle w:val="Textpoznpodarou"/>
        <w:rPr>
          <w:sz w:val="16"/>
          <w:szCs w:val="16"/>
        </w:rPr>
      </w:pPr>
      <w:r w:rsidRPr="00D905A8">
        <w:rPr>
          <w:rStyle w:val="Znakapoznpodarou"/>
          <w:sz w:val="16"/>
          <w:szCs w:val="16"/>
        </w:rPr>
        <w:footnoteRef/>
      </w:r>
      <w:r w:rsidRPr="00D905A8">
        <w:rPr>
          <w:sz w:val="16"/>
          <w:szCs w:val="16"/>
        </w:rPr>
        <w:t xml:space="preserve"> </w:t>
      </w:r>
      <w:r w:rsidRPr="00D905A8">
        <w:rPr>
          <w:rFonts w:ascii="Arial" w:hAnsi="Arial" w:cs="Arial"/>
          <w:sz w:val="16"/>
          <w:szCs w:val="16"/>
        </w:rPr>
        <w:t>Často je označována jako sleva pro důchodce (starobní), ale není tomu tak, není vázána na starobní důchod.</w:t>
      </w:r>
    </w:p>
  </w:footnote>
  <w:footnote w:id="13">
    <w:p w:rsidR="00D77055" w:rsidRPr="00D905A8" w:rsidRDefault="00D77055">
      <w:pPr>
        <w:pStyle w:val="Textpoznpodarou"/>
        <w:rPr>
          <w:rFonts w:ascii="Arial" w:hAnsi="Arial" w:cs="Arial"/>
          <w:sz w:val="16"/>
          <w:szCs w:val="16"/>
        </w:rPr>
      </w:pPr>
      <w:r w:rsidRPr="00D905A8">
        <w:rPr>
          <w:rStyle w:val="Znakapoznpodarou"/>
          <w:rFonts w:ascii="Arial" w:hAnsi="Arial" w:cs="Arial"/>
          <w:sz w:val="16"/>
          <w:szCs w:val="16"/>
        </w:rPr>
        <w:footnoteRef/>
      </w:r>
      <w:r w:rsidRPr="00D905A8">
        <w:rPr>
          <w:rFonts w:ascii="Arial" w:hAnsi="Arial" w:cs="Arial"/>
          <w:sz w:val="16"/>
          <w:szCs w:val="16"/>
        </w:rPr>
        <w:t xml:space="preserve"> Je pravda, že slovenský národní železniční dopravce tento benefit cestujícím skutečně poskytuje, ale je otázkou, zda slovenský příklad je v daném případě účelné následovat. Technické řešení je v zásadě obdobné, které v České republice existovalo do roku 2011. Jen je k tomu přidán úřední překlad příslušné listiny. Definice nároku je však velmi vágní – nárok mají osoby pobírající důchod podle příslušného slovenského zákona nebo </w:t>
      </w:r>
      <w:r w:rsidRPr="00D905A8">
        <w:rPr>
          <w:rFonts w:ascii="Arial" w:hAnsi="Arial" w:cs="Arial"/>
          <w:i/>
          <w:sz w:val="16"/>
          <w:szCs w:val="16"/>
        </w:rPr>
        <w:t>„obdobný důchod vyplácený institucí členského státu EU“</w:t>
      </w:r>
      <w:r w:rsidRPr="00D905A8">
        <w:rPr>
          <w:rFonts w:ascii="Arial" w:hAnsi="Arial" w:cs="Arial"/>
          <w:sz w:val="16"/>
          <w:szCs w:val="16"/>
        </w:rPr>
        <w:t>. Ale nikde není řečeno, co tou příslušnou listinou / důchodem / institucí vlastně je a co jí není. Dále je potřeba vzít v úvahu, že počet zahraničních návštěvníků Česka (mimo Slováků) je násobně vyšší, než návštěvníků Slovenska (mimo Čechů). Problém s identifikací nároku na slevu a případným neuznáním příslušných dokumentů by byl v České republice podstatně častější, což by působilo konflikty.</w:t>
      </w:r>
    </w:p>
  </w:footnote>
  <w:footnote w:id="14">
    <w:p w:rsidR="00D77055" w:rsidRPr="007045D0" w:rsidRDefault="00D77055" w:rsidP="001C625C">
      <w:pPr>
        <w:pStyle w:val="Textpoznpodarou"/>
        <w:spacing w:after="60"/>
        <w:rPr>
          <w:rFonts w:ascii="Arial" w:hAnsi="Arial" w:cs="Arial"/>
          <w:sz w:val="16"/>
          <w:szCs w:val="16"/>
        </w:rPr>
      </w:pPr>
      <w:r w:rsidRPr="007045D0">
        <w:rPr>
          <w:rStyle w:val="Znakapoznpodarou"/>
          <w:rFonts w:ascii="Arial" w:hAnsi="Arial" w:cs="Arial"/>
          <w:sz w:val="16"/>
          <w:szCs w:val="16"/>
        </w:rPr>
        <w:footnoteRef/>
      </w:r>
      <w:r w:rsidRPr="007045D0">
        <w:rPr>
          <w:rFonts w:ascii="Arial" w:hAnsi="Arial" w:cs="Arial"/>
          <w:sz w:val="16"/>
          <w:szCs w:val="16"/>
        </w:rPr>
        <w:t xml:space="preserve"> Slevy z jízdného nemají charakter sociální dávky. Z toho důvodu se tuto otázku neřeší Ministerstvo práce a sociálních věcí. Jedná se o to, že na slevu má nárok každý (v rámci dané skupiny cestujících), bez ohledu na příjem domácnosti. Slevu dostanou tedy i žáci a studenti z dobře situovaných rodin, stejně jako senioři, kteří kromě důchodu pracují a mají dva příjmy.</w:t>
      </w:r>
    </w:p>
  </w:footnote>
  <w:footnote w:id="15">
    <w:p w:rsidR="00D77055" w:rsidRPr="007045D0" w:rsidRDefault="00D77055" w:rsidP="001C625C">
      <w:pPr>
        <w:pStyle w:val="Textpoznpodarou"/>
        <w:spacing w:after="60"/>
        <w:rPr>
          <w:rFonts w:ascii="Arial" w:hAnsi="Arial" w:cs="Arial"/>
          <w:sz w:val="16"/>
          <w:szCs w:val="16"/>
        </w:rPr>
      </w:pPr>
      <w:r w:rsidRPr="007045D0">
        <w:rPr>
          <w:rStyle w:val="Znakapoznpodarou"/>
          <w:rFonts w:ascii="Arial" w:hAnsi="Arial" w:cs="Arial"/>
          <w:sz w:val="16"/>
          <w:szCs w:val="16"/>
        </w:rPr>
        <w:footnoteRef/>
      </w:r>
      <w:r w:rsidRPr="007045D0">
        <w:rPr>
          <w:rFonts w:ascii="Arial" w:hAnsi="Arial" w:cs="Arial"/>
          <w:sz w:val="16"/>
          <w:szCs w:val="16"/>
        </w:rPr>
        <w:t xml:space="preserve"> Pro komplexní pohled na věc je nutné se vrátit k samotné filozofii kompenzací slev, jak je ukládá nařízení EP a Rady 1370/2007. To říká, že stát musí u nařízených slev kompenzovat dopad na dopravce do té míry, aby neutrpěly jejich tržby – tedy aby jejich tržby dorovnal do tržního stavu, kdyby žádná regulace zavedena nebyla. To je však čistě hypotetická situace – nelze přesně stanovit, jaké by dopravce býval měl tržby, kdyby slevy stát nezavedl. Nicméně z tohoto požadavku je reálná jiná skutečnost – pro srovnání situací „bez“ a „se“ slevami je nutné započítat nejen úbytek tržeb (daný nižším jízdným placeným přímo cestujícím), ale též nárůst tržeb daný dodatečnou poptávkou, kterou nižší cena jízdného vyvolá. Opět se vracíme k tomu, že toto je pouze hypotetická možnost, nárůst poptávky čistě z titulu nižšího jízdného nelze fakticky kvantifikovat.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293"/>
    <w:multiLevelType w:val="multilevel"/>
    <w:tmpl w:val="5E22B4A6"/>
    <w:lvl w:ilvl="0">
      <w:start w:val="5"/>
      <w:numFmt w:val="decimal"/>
      <w:lvlText w:val="%1"/>
      <w:lvlJc w:val="left"/>
      <w:pPr>
        <w:ind w:left="360" w:hanging="360"/>
      </w:pPr>
      <w:rPr>
        <w:rFonts w:asciiTheme="minorHAnsi" w:hAnsiTheme="minorHAnsi" w:cstheme="minorBidi" w:hint="default"/>
        <w:b w:val="0"/>
        <w:color w:val="auto"/>
      </w:rPr>
    </w:lvl>
    <w:lvl w:ilvl="1">
      <w:start w:val="2"/>
      <w:numFmt w:val="decimal"/>
      <w:lvlText w:val="%1.%2"/>
      <w:lvlJc w:val="left"/>
      <w:pPr>
        <w:ind w:left="360" w:hanging="360"/>
      </w:pPr>
      <w:rPr>
        <w:rFonts w:ascii="Arial" w:hAnsi="Arial" w:cs="Arial" w:hint="default"/>
        <w:b/>
        <w:color w:val="002060"/>
      </w:rPr>
    </w:lvl>
    <w:lvl w:ilvl="2">
      <w:start w:val="1"/>
      <w:numFmt w:val="decimal"/>
      <w:lvlText w:val="%1.%2.%3"/>
      <w:lvlJc w:val="left"/>
      <w:pPr>
        <w:ind w:left="720" w:hanging="720"/>
      </w:pPr>
      <w:rPr>
        <w:rFonts w:asciiTheme="minorHAnsi" w:hAnsiTheme="minorHAnsi" w:cstheme="minorBidi" w:hint="default"/>
        <w:b w:val="0"/>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440" w:hanging="1440"/>
      </w:pPr>
      <w:rPr>
        <w:rFonts w:asciiTheme="minorHAnsi" w:hAnsiTheme="minorHAnsi" w:cstheme="minorBidi" w:hint="default"/>
        <w:b w:val="0"/>
        <w:color w:val="auto"/>
      </w:rPr>
    </w:lvl>
  </w:abstractNum>
  <w:abstractNum w:abstractNumId="1" w15:restartNumberingAfterBreak="0">
    <w:nsid w:val="0DF94A09"/>
    <w:multiLevelType w:val="hybridMultilevel"/>
    <w:tmpl w:val="EE2A4DCE"/>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11F04CD6"/>
    <w:multiLevelType w:val="hybridMultilevel"/>
    <w:tmpl w:val="09E84666"/>
    <w:lvl w:ilvl="0" w:tplc="2674A900">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44F03"/>
    <w:multiLevelType w:val="hybridMultilevel"/>
    <w:tmpl w:val="C3949250"/>
    <w:lvl w:ilvl="0" w:tplc="0DFAB4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D9A5D5F"/>
    <w:multiLevelType w:val="hybridMultilevel"/>
    <w:tmpl w:val="C076EBF0"/>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E90C45"/>
    <w:multiLevelType w:val="hybridMultilevel"/>
    <w:tmpl w:val="CF8CCF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EB7C8B"/>
    <w:multiLevelType w:val="hybridMultilevel"/>
    <w:tmpl w:val="4D3C83E0"/>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7" w15:restartNumberingAfterBreak="0">
    <w:nsid w:val="308770FD"/>
    <w:multiLevelType w:val="hybridMultilevel"/>
    <w:tmpl w:val="BD3C3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3644AB"/>
    <w:multiLevelType w:val="hybridMultilevel"/>
    <w:tmpl w:val="5DE6A7FE"/>
    <w:lvl w:ilvl="0" w:tplc="696CD754">
      <w:start w:val="4"/>
      <w:numFmt w:val="decimal"/>
      <w:lvlText w:val="%1"/>
      <w:lvlJc w:val="left"/>
      <w:pPr>
        <w:ind w:left="1041" w:hanging="360"/>
      </w:pPr>
      <w:rPr>
        <w:rFonts w:hint="default"/>
      </w:rPr>
    </w:lvl>
    <w:lvl w:ilvl="1" w:tplc="04050019" w:tentative="1">
      <w:start w:val="1"/>
      <w:numFmt w:val="lowerLetter"/>
      <w:lvlText w:val="%2."/>
      <w:lvlJc w:val="left"/>
      <w:pPr>
        <w:ind w:left="1761" w:hanging="360"/>
      </w:pPr>
    </w:lvl>
    <w:lvl w:ilvl="2" w:tplc="0405001B" w:tentative="1">
      <w:start w:val="1"/>
      <w:numFmt w:val="lowerRoman"/>
      <w:lvlText w:val="%3."/>
      <w:lvlJc w:val="right"/>
      <w:pPr>
        <w:ind w:left="2481" w:hanging="180"/>
      </w:pPr>
    </w:lvl>
    <w:lvl w:ilvl="3" w:tplc="0405000F" w:tentative="1">
      <w:start w:val="1"/>
      <w:numFmt w:val="decimal"/>
      <w:lvlText w:val="%4."/>
      <w:lvlJc w:val="left"/>
      <w:pPr>
        <w:ind w:left="3201" w:hanging="360"/>
      </w:pPr>
    </w:lvl>
    <w:lvl w:ilvl="4" w:tplc="04050019" w:tentative="1">
      <w:start w:val="1"/>
      <w:numFmt w:val="lowerLetter"/>
      <w:lvlText w:val="%5."/>
      <w:lvlJc w:val="left"/>
      <w:pPr>
        <w:ind w:left="3921" w:hanging="360"/>
      </w:pPr>
    </w:lvl>
    <w:lvl w:ilvl="5" w:tplc="0405001B" w:tentative="1">
      <w:start w:val="1"/>
      <w:numFmt w:val="lowerRoman"/>
      <w:lvlText w:val="%6."/>
      <w:lvlJc w:val="right"/>
      <w:pPr>
        <w:ind w:left="4641" w:hanging="180"/>
      </w:pPr>
    </w:lvl>
    <w:lvl w:ilvl="6" w:tplc="0405000F" w:tentative="1">
      <w:start w:val="1"/>
      <w:numFmt w:val="decimal"/>
      <w:lvlText w:val="%7."/>
      <w:lvlJc w:val="left"/>
      <w:pPr>
        <w:ind w:left="5361" w:hanging="360"/>
      </w:pPr>
    </w:lvl>
    <w:lvl w:ilvl="7" w:tplc="04050019" w:tentative="1">
      <w:start w:val="1"/>
      <w:numFmt w:val="lowerLetter"/>
      <w:lvlText w:val="%8."/>
      <w:lvlJc w:val="left"/>
      <w:pPr>
        <w:ind w:left="6081" w:hanging="360"/>
      </w:pPr>
    </w:lvl>
    <w:lvl w:ilvl="8" w:tplc="0405001B" w:tentative="1">
      <w:start w:val="1"/>
      <w:numFmt w:val="lowerRoman"/>
      <w:lvlText w:val="%9."/>
      <w:lvlJc w:val="right"/>
      <w:pPr>
        <w:ind w:left="6801" w:hanging="180"/>
      </w:pPr>
    </w:lvl>
  </w:abstractNum>
  <w:abstractNum w:abstractNumId="9" w15:restartNumberingAfterBreak="0">
    <w:nsid w:val="39A07E9F"/>
    <w:multiLevelType w:val="hybridMultilevel"/>
    <w:tmpl w:val="F52C3338"/>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0" w15:restartNumberingAfterBreak="0">
    <w:nsid w:val="3A8C41D9"/>
    <w:multiLevelType w:val="hybridMultilevel"/>
    <w:tmpl w:val="AECAE61E"/>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555B"/>
    <w:multiLevelType w:val="hybridMultilevel"/>
    <w:tmpl w:val="94B0B054"/>
    <w:lvl w:ilvl="0" w:tplc="A2C84662">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2" w15:restartNumberingAfterBreak="0">
    <w:nsid w:val="4128603D"/>
    <w:multiLevelType w:val="hybridMultilevel"/>
    <w:tmpl w:val="F2BE05CE"/>
    <w:lvl w:ilvl="0" w:tplc="B91046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FE7781"/>
    <w:multiLevelType w:val="multilevel"/>
    <w:tmpl w:val="0052BD3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928"/>
        </w:tabs>
        <w:ind w:left="928"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0AC181E"/>
    <w:multiLevelType w:val="hybridMultilevel"/>
    <w:tmpl w:val="31DE78DA"/>
    <w:lvl w:ilvl="0" w:tplc="B484CD74">
      <w:start w:val="1"/>
      <w:numFmt w:val="decimal"/>
      <w:lvlText w:val="(%1)"/>
      <w:lvlJc w:val="left"/>
      <w:pPr>
        <w:ind w:left="360" w:hanging="360"/>
      </w:pPr>
      <w:rPr>
        <w:rFonts w:ascii="Arial" w:hAnsi="Arial" w:cs="Arial"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A86F74"/>
    <w:multiLevelType w:val="hybridMultilevel"/>
    <w:tmpl w:val="08E822B6"/>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4F17C3D"/>
    <w:multiLevelType w:val="hybridMultilevel"/>
    <w:tmpl w:val="3D845EA8"/>
    <w:lvl w:ilvl="0" w:tplc="8C5287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AE16EC"/>
    <w:multiLevelType w:val="hybridMultilevel"/>
    <w:tmpl w:val="A02C538E"/>
    <w:lvl w:ilvl="0" w:tplc="B4C6A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4250EE"/>
    <w:multiLevelType w:val="hybridMultilevel"/>
    <w:tmpl w:val="0D48EEDA"/>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5A983068"/>
    <w:multiLevelType w:val="hybridMultilevel"/>
    <w:tmpl w:val="4008EEAC"/>
    <w:lvl w:ilvl="0" w:tplc="BFF46B00">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C8E0249"/>
    <w:multiLevelType w:val="hybridMultilevel"/>
    <w:tmpl w:val="D8389A22"/>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972231"/>
    <w:multiLevelType w:val="hybridMultilevel"/>
    <w:tmpl w:val="F4ECB266"/>
    <w:lvl w:ilvl="0" w:tplc="3E1066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ED671C"/>
    <w:multiLevelType w:val="hybridMultilevel"/>
    <w:tmpl w:val="D6AAD952"/>
    <w:lvl w:ilvl="0" w:tplc="B2AE51DC">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213510"/>
    <w:multiLevelType w:val="hybridMultilevel"/>
    <w:tmpl w:val="B094A03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00A202E"/>
    <w:multiLevelType w:val="hybridMultilevel"/>
    <w:tmpl w:val="8EBE91F8"/>
    <w:lvl w:ilvl="0" w:tplc="2674A900">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C63B52"/>
    <w:multiLevelType w:val="hybridMultilevel"/>
    <w:tmpl w:val="C9BA8F8A"/>
    <w:lvl w:ilvl="0" w:tplc="4D842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5D750C"/>
    <w:multiLevelType w:val="hybridMultilevel"/>
    <w:tmpl w:val="D96EDBB4"/>
    <w:lvl w:ilvl="0" w:tplc="0536350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9411A5"/>
    <w:multiLevelType w:val="hybridMultilevel"/>
    <w:tmpl w:val="14460B3E"/>
    <w:lvl w:ilvl="0" w:tplc="04050017">
      <w:start w:val="1"/>
      <w:numFmt w:val="lowerLetter"/>
      <w:lvlText w:val="%1)"/>
      <w:lvlJc w:val="left"/>
      <w:pPr>
        <w:ind w:left="790" w:hanging="360"/>
      </w:pPr>
      <w:rPr>
        <w:rFonts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28" w15:restartNumberingAfterBreak="0">
    <w:nsid w:val="675B6D30"/>
    <w:multiLevelType w:val="hybridMultilevel"/>
    <w:tmpl w:val="2892BAD4"/>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88207DC"/>
    <w:multiLevelType w:val="hybridMultilevel"/>
    <w:tmpl w:val="772E8B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DC0722"/>
    <w:multiLevelType w:val="hybridMultilevel"/>
    <w:tmpl w:val="F26EE52A"/>
    <w:lvl w:ilvl="0" w:tplc="E722936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3856CD"/>
    <w:multiLevelType w:val="hybridMultilevel"/>
    <w:tmpl w:val="687CD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E65609"/>
    <w:multiLevelType w:val="hybridMultilevel"/>
    <w:tmpl w:val="CD6E81F2"/>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724E605E"/>
    <w:multiLevelType w:val="hybridMultilevel"/>
    <w:tmpl w:val="5E4E6D6E"/>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3AE34F9"/>
    <w:multiLevelType w:val="hybridMultilevel"/>
    <w:tmpl w:val="741E1CF0"/>
    <w:lvl w:ilvl="0" w:tplc="3F2A8BD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3615EF"/>
    <w:multiLevelType w:val="hybridMultilevel"/>
    <w:tmpl w:val="48263700"/>
    <w:lvl w:ilvl="0" w:tplc="2674A90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791E39EE"/>
    <w:multiLevelType w:val="hybridMultilevel"/>
    <w:tmpl w:val="290293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531E12"/>
    <w:multiLevelType w:val="hybridMultilevel"/>
    <w:tmpl w:val="A1AE0CCE"/>
    <w:lvl w:ilvl="0" w:tplc="2674A9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6"/>
  </w:num>
  <w:num w:numId="4">
    <w:abstractNumId w:val="6"/>
  </w:num>
  <w:num w:numId="5">
    <w:abstractNumId w:val="9"/>
  </w:num>
  <w:num w:numId="6">
    <w:abstractNumId w:val="11"/>
  </w:num>
  <w:num w:numId="7">
    <w:abstractNumId w:val="13"/>
  </w:num>
  <w:num w:numId="8">
    <w:abstractNumId w:val="12"/>
  </w:num>
  <w:num w:numId="9">
    <w:abstractNumId w:val="31"/>
  </w:num>
  <w:num w:numId="10">
    <w:abstractNumId w:val="14"/>
  </w:num>
  <w:num w:numId="11">
    <w:abstractNumId w:val="1"/>
  </w:num>
  <w:num w:numId="12">
    <w:abstractNumId w:val="23"/>
  </w:num>
  <w:num w:numId="13">
    <w:abstractNumId w:val="32"/>
  </w:num>
  <w:num w:numId="14">
    <w:abstractNumId w:val="3"/>
  </w:num>
  <w:num w:numId="15">
    <w:abstractNumId w:val="15"/>
  </w:num>
  <w:num w:numId="16">
    <w:abstractNumId w:val="2"/>
  </w:num>
  <w:num w:numId="17">
    <w:abstractNumId w:val="10"/>
  </w:num>
  <w:num w:numId="18">
    <w:abstractNumId w:val="24"/>
  </w:num>
  <w:num w:numId="19">
    <w:abstractNumId w:val="27"/>
  </w:num>
  <w:num w:numId="20">
    <w:abstractNumId w:val="20"/>
  </w:num>
  <w:num w:numId="21">
    <w:abstractNumId w:val="33"/>
  </w:num>
  <w:num w:numId="22">
    <w:abstractNumId w:val="18"/>
  </w:num>
  <w:num w:numId="23">
    <w:abstractNumId w:val="28"/>
  </w:num>
  <w:num w:numId="24">
    <w:abstractNumId w:val="17"/>
  </w:num>
  <w:num w:numId="25">
    <w:abstractNumId w:val="26"/>
  </w:num>
  <w:num w:numId="26">
    <w:abstractNumId w:val="34"/>
  </w:num>
  <w:num w:numId="27">
    <w:abstractNumId w:val="30"/>
  </w:num>
  <w:num w:numId="28">
    <w:abstractNumId w:val="19"/>
  </w:num>
  <w:num w:numId="29">
    <w:abstractNumId w:val="8"/>
  </w:num>
  <w:num w:numId="30">
    <w:abstractNumId w:val="0"/>
  </w:num>
  <w:num w:numId="31">
    <w:abstractNumId w:val="25"/>
  </w:num>
  <w:num w:numId="32">
    <w:abstractNumId w:val="29"/>
  </w:num>
  <w:num w:numId="33">
    <w:abstractNumId w:val="22"/>
  </w:num>
  <w:num w:numId="34">
    <w:abstractNumId w:val="35"/>
  </w:num>
  <w:num w:numId="35">
    <w:abstractNumId w:val="37"/>
  </w:num>
  <w:num w:numId="36">
    <w:abstractNumId w:val="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7B"/>
    <w:rsid w:val="00003BB3"/>
    <w:rsid w:val="000067BF"/>
    <w:rsid w:val="00016763"/>
    <w:rsid w:val="000A0FDC"/>
    <w:rsid w:val="000A11DF"/>
    <w:rsid w:val="000A7F4C"/>
    <w:rsid w:val="000B0A37"/>
    <w:rsid w:val="000C42FD"/>
    <w:rsid w:val="000E11AC"/>
    <w:rsid w:val="000E4A4B"/>
    <w:rsid w:val="000F7285"/>
    <w:rsid w:val="00106B3E"/>
    <w:rsid w:val="00115173"/>
    <w:rsid w:val="00120642"/>
    <w:rsid w:val="00124735"/>
    <w:rsid w:val="00125783"/>
    <w:rsid w:val="00131BC2"/>
    <w:rsid w:val="00132864"/>
    <w:rsid w:val="00133BE1"/>
    <w:rsid w:val="001552BF"/>
    <w:rsid w:val="001634C9"/>
    <w:rsid w:val="0017100B"/>
    <w:rsid w:val="00172FE9"/>
    <w:rsid w:val="00195391"/>
    <w:rsid w:val="001C33E4"/>
    <w:rsid w:val="001C410D"/>
    <w:rsid w:val="001C625C"/>
    <w:rsid w:val="001E074E"/>
    <w:rsid w:val="001E52F2"/>
    <w:rsid w:val="001E7D81"/>
    <w:rsid w:val="001F604C"/>
    <w:rsid w:val="00203E65"/>
    <w:rsid w:val="0020652B"/>
    <w:rsid w:val="00222393"/>
    <w:rsid w:val="002235E5"/>
    <w:rsid w:val="0024289E"/>
    <w:rsid w:val="00245E76"/>
    <w:rsid w:val="002607F1"/>
    <w:rsid w:val="002663ED"/>
    <w:rsid w:val="00267087"/>
    <w:rsid w:val="00280E13"/>
    <w:rsid w:val="0028557C"/>
    <w:rsid w:val="00286754"/>
    <w:rsid w:val="00292F7D"/>
    <w:rsid w:val="00295E7E"/>
    <w:rsid w:val="002B0158"/>
    <w:rsid w:val="002B6AA9"/>
    <w:rsid w:val="002D0769"/>
    <w:rsid w:val="002D5BA5"/>
    <w:rsid w:val="002E178F"/>
    <w:rsid w:val="00306691"/>
    <w:rsid w:val="00307326"/>
    <w:rsid w:val="003172DF"/>
    <w:rsid w:val="00323BFB"/>
    <w:rsid w:val="003259D3"/>
    <w:rsid w:val="00325B5D"/>
    <w:rsid w:val="00326A69"/>
    <w:rsid w:val="003309EC"/>
    <w:rsid w:val="00342EB2"/>
    <w:rsid w:val="003445EC"/>
    <w:rsid w:val="00345545"/>
    <w:rsid w:val="0035426C"/>
    <w:rsid w:val="0035784E"/>
    <w:rsid w:val="00367377"/>
    <w:rsid w:val="00376393"/>
    <w:rsid w:val="00396F4E"/>
    <w:rsid w:val="003D04F0"/>
    <w:rsid w:val="003D2A2B"/>
    <w:rsid w:val="003E1167"/>
    <w:rsid w:val="003E6205"/>
    <w:rsid w:val="003F1DEA"/>
    <w:rsid w:val="003F446A"/>
    <w:rsid w:val="003F70B4"/>
    <w:rsid w:val="0040556D"/>
    <w:rsid w:val="00422098"/>
    <w:rsid w:val="0043047E"/>
    <w:rsid w:val="00442583"/>
    <w:rsid w:val="00451FC8"/>
    <w:rsid w:val="0046278B"/>
    <w:rsid w:val="00477975"/>
    <w:rsid w:val="00480D7B"/>
    <w:rsid w:val="00486C2F"/>
    <w:rsid w:val="00496000"/>
    <w:rsid w:val="004C1208"/>
    <w:rsid w:val="004C524A"/>
    <w:rsid w:val="004C7221"/>
    <w:rsid w:val="004F1833"/>
    <w:rsid w:val="004F5A6D"/>
    <w:rsid w:val="00505256"/>
    <w:rsid w:val="00512DED"/>
    <w:rsid w:val="00520662"/>
    <w:rsid w:val="0053017B"/>
    <w:rsid w:val="00550475"/>
    <w:rsid w:val="005600CB"/>
    <w:rsid w:val="00563348"/>
    <w:rsid w:val="00573D68"/>
    <w:rsid w:val="0058761A"/>
    <w:rsid w:val="0058765B"/>
    <w:rsid w:val="005936FE"/>
    <w:rsid w:val="005950C9"/>
    <w:rsid w:val="005A72EF"/>
    <w:rsid w:val="005B0E05"/>
    <w:rsid w:val="005F0439"/>
    <w:rsid w:val="0063323D"/>
    <w:rsid w:val="00636C99"/>
    <w:rsid w:val="00650168"/>
    <w:rsid w:val="00670100"/>
    <w:rsid w:val="00670796"/>
    <w:rsid w:val="0067471A"/>
    <w:rsid w:val="00680071"/>
    <w:rsid w:val="006809EB"/>
    <w:rsid w:val="00690586"/>
    <w:rsid w:val="00696C20"/>
    <w:rsid w:val="006D6384"/>
    <w:rsid w:val="006F57D7"/>
    <w:rsid w:val="00703396"/>
    <w:rsid w:val="007045D0"/>
    <w:rsid w:val="00710FA2"/>
    <w:rsid w:val="007131AC"/>
    <w:rsid w:val="00714A24"/>
    <w:rsid w:val="00716062"/>
    <w:rsid w:val="007462A0"/>
    <w:rsid w:val="00763411"/>
    <w:rsid w:val="00772FBF"/>
    <w:rsid w:val="00776DD9"/>
    <w:rsid w:val="00794D61"/>
    <w:rsid w:val="007B4E8D"/>
    <w:rsid w:val="007C6C09"/>
    <w:rsid w:val="007E1DE6"/>
    <w:rsid w:val="007F212D"/>
    <w:rsid w:val="00805602"/>
    <w:rsid w:val="00815468"/>
    <w:rsid w:val="00820ECA"/>
    <w:rsid w:val="00821EAC"/>
    <w:rsid w:val="00850B71"/>
    <w:rsid w:val="00856FDB"/>
    <w:rsid w:val="00862BFE"/>
    <w:rsid w:val="00891B5B"/>
    <w:rsid w:val="0089332A"/>
    <w:rsid w:val="008A3BFE"/>
    <w:rsid w:val="008A6B82"/>
    <w:rsid w:val="008B1651"/>
    <w:rsid w:val="008C7D6C"/>
    <w:rsid w:val="00924D2C"/>
    <w:rsid w:val="00931F0A"/>
    <w:rsid w:val="00937F46"/>
    <w:rsid w:val="00941D43"/>
    <w:rsid w:val="00944394"/>
    <w:rsid w:val="00945417"/>
    <w:rsid w:val="009632E2"/>
    <w:rsid w:val="00965C1D"/>
    <w:rsid w:val="009766D7"/>
    <w:rsid w:val="00982128"/>
    <w:rsid w:val="009B5365"/>
    <w:rsid w:val="009C068F"/>
    <w:rsid w:val="009D19C9"/>
    <w:rsid w:val="009E04C6"/>
    <w:rsid w:val="009E4F10"/>
    <w:rsid w:val="009F680D"/>
    <w:rsid w:val="00A31691"/>
    <w:rsid w:val="00A34A12"/>
    <w:rsid w:val="00A34C8E"/>
    <w:rsid w:val="00A4262F"/>
    <w:rsid w:val="00A538C0"/>
    <w:rsid w:val="00A551FE"/>
    <w:rsid w:val="00A64CDF"/>
    <w:rsid w:val="00A93FFC"/>
    <w:rsid w:val="00AB07D7"/>
    <w:rsid w:val="00AB1E9D"/>
    <w:rsid w:val="00AF267B"/>
    <w:rsid w:val="00AF7B45"/>
    <w:rsid w:val="00B02E8B"/>
    <w:rsid w:val="00B07CAB"/>
    <w:rsid w:val="00B36090"/>
    <w:rsid w:val="00B3749F"/>
    <w:rsid w:val="00B51EA6"/>
    <w:rsid w:val="00B63AFA"/>
    <w:rsid w:val="00B74848"/>
    <w:rsid w:val="00BA067F"/>
    <w:rsid w:val="00BA33FA"/>
    <w:rsid w:val="00BA49A4"/>
    <w:rsid w:val="00BB394A"/>
    <w:rsid w:val="00BD529A"/>
    <w:rsid w:val="00BF4D61"/>
    <w:rsid w:val="00C20D6F"/>
    <w:rsid w:val="00C20FEB"/>
    <w:rsid w:val="00C23B7D"/>
    <w:rsid w:val="00C314E7"/>
    <w:rsid w:val="00C3169E"/>
    <w:rsid w:val="00C434F9"/>
    <w:rsid w:val="00C76A51"/>
    <w:rsid w:val="00C95E7E"/>
    <w:rsid w:val="00CA2D9C"/>
    <w:rsid w:val="00CA45CF"/>
    <w:rsid w:val="00CD1CBF"/>
    <w:rsid w:val="00CE028E"/>
    <w:rsid w:val="00CE0D38"/>
    <w:rsid w:val="00CE0D53"/>
    <w:rsid w:val="00CF5490"/>
    <w:rsid w:val="00D02040"/>
    <w:rsid w:val="00D02711"/>
    <w:rsid w:val="00D15BF5"/>
    <w:rsid w:val="00D20A80"/>
    <w:rsid w:val="00D22ABA"/>
    <w:rsid w:val="00D27755"/>
    <w:rsid w:val="00D3217C"/>
    <w:rsid w:val="00D64717"/>
    <w:rsid w:val="00D71B79"/>
    <w:rsid w:val="00D77055"/>
    <w:rsid w:val="00D905A8"/>
    <w:rsid w:val="00D92A61"/>
    <w:rsid w:val="00DA0F87"/>
    <w:rsid w:val="00DA2246"/>
    <w:rsid w:val="00DA3E39"/>
    <w:rsid w:val="00DB02DC"/>
    <w:rsid w:val="00DC58F9"/>
    <w:rsid w:val="00DC758E"/>
    <w:rsid w:val="00DD37AD"/>
    <w:rsid w:val="00DE1442"/>
    <w:rsid w:val="00DF52F0"/>
    <w:rsid w:val="00E02D5E"/>
    <w:rsid w:val="00E0613B"/>
    <w:rsid w:val="00E175E2"/>
    <w:rsid w:val="00E24CDA"/>
    <w:rsid w:val="00E24EC4"/>
    <w:rsid w:val="00E2577A"/>
    <w:rsid w:val="00E549A2"/>
    <w:rsid w:val="00E55605"/>
    <w:rsid w:val="00E63154"/>
    <w:rsid w:val="00E70A96"/>
    <w:rsid w:val="00E727EC"/>
    <w:rsid w:val="00E75E48"/>
    <w:rsid w:val="00E7773E"/>
    <w:rsid w:val="00E96322"/>
    <w:rsid w:val="00EB15F2"/>
    <w:rsid w:val="00EB44EA"/>
    <w:rsid w:val="00ED0555"/>
    <w:rsid w:val="00ED25E5"/>
    <w:rsid w:val="00ED4DAF"/>
    <w:rsid w:val="00EF3B5D"/>
    <w:rsid w:val="00EF4261"/>
    <w:rsid w:val="00F06670"/>
    <w:rsid w:val="00F21D95"/>
    <w:rsid w:val="00F31055"/>
    <w:rsid w:val="00F468F8"/>
    <w:rsid w:val="00F61D49"/>
    <w:rsid w:val="00F62803"/>
    <w:rsid w:val="00F666A4"/>
    <w:rsid w:val="00F81457"/>
    <w:rsid w:val="00F8404C"/>
    <w:rsid w:val="00FA67B8"/>
    <w:rsid w:val="00FB5B63"/>
    <w:rsid w:val="00FB6015"/>
    <w:rsid w:val="00FC1E7A"/>
    <w:rsid w:val="00FC24EA"/>
    <w:rsid w:val="00FD6C0E"/>
    <w:rsid w:val="00FF0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D700"/>
  <w15:chartTrackingRefBased/>
  <w15:docId w15:val="{28D82DC4-8582-4732-9526-64D34A41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2F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796"/>
    <w:pPr>
      <w:ind w:left="720"/>
      <w:contextualSpacing/>
    </w:pPr>
  </w:style>
  <w:style w:type="paragraph" w:styleId="Zhlav">
    <w:name w:val="header"/>
    <w:basedOn w:val="Normln"/>
    <w:link w:val="ZhlavChar"/>
    <w:uiPriority w:val="99"/>
    <w:unhideWhenUsed/>
    <w:rsid w:val="006800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0071"/>
  </w:style>
  <w:style w:type="paragraph" w:styleId="Zpat">
    <w:name w:val="footer"/>
    <w:basedOn w:val="Normln"/>
    <w:link w:val="ZpatChar"/>
    <w:uiPriority w:val="99"/>
    <w:unhideWhenUsed/>
    <w:rsid w:val="0068007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0071"/>
  </w:style>
  <w:style w:type="table" w:styleId="Mkatabulky">
    <w:name w:val="Table Grid"/>
    <w:basedOn w:val="Normlntabulka"/>
    <w:uiPriority w:val="39"/>
    <w:rsid w:val="0032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F549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5490"/>
    <w:rPr>
      <w:sz w:val="20"/>
      <w:szCs w:val="20"/>
    </w:rPr>
  </w:style>
  <w:style w:type="character" w:styleId="Znakapoznpodarou">
    <w:name w:val="footnote reference"/>
    <w:basedOn w:val="Standardnpsmoodstavce"/>
    <w:uiPriority w:val="99"/>
    <w:semiHidden/>
    <w:unhideWhenUsed/>
    <w:rsid w:val="00CF5490"/>
    <w:rPr>
      <w:vertAlign w:val="superscript"/>
    </w:rPr>
  </w:style>
  <w:style w:type="character" w:styleId="Odkaznakoment">
    <w:name w:val="annotation reference"/>
    <w:basedOn w:val="Standardnpsmoodstavce"/>
    <w:uiPriority w:val="99"/>
    <w:semiHidden/>
    <w:unhideWhenUsed/>
    <w:rsid w:val="00A34A12"/>
    <w:rPr>
      <w:sz w:val="16"/>
      <w:szCs w:val="16"/>
    </w:rPr>
  </w:style>
  <w:style w:type="paragraph" w:styleId="Textkomente">
    <w:name w:val="annotation text"/>
    <w:basedOn w:val="Normln"/>
    <w:link w:val="TextkomenteChar"/>
    <w:uiPriority w:val="99"/>
    <w:semiHidden/>
    <w:unhideWhenUsed/>
    <w:rsid w:val="00A34A12"/>
    <w:pPr>
      <w:spacing w:line="240" w:lineRule="auto"/>
    </w:pPr>
    <w:rPr>
      <w:sz w:val="20"/>
      <w:szCs w:val="20"/>
    </w:rPr>
  </w:style>
  <w:style w:type="character" w:customStyle="1" w:styleId="TextkomenteChar">
    <w:name w:val="Text komentáře Char"/>
    <w:basedOn w:val="Standardnpsmoodstavce"/>
    <w:link w:val="Textkomente"/>
    <w:uiPriority w:val="99"/>
    <w:semiHidden/>
    <w:rsid w:val="00A34A12"/>
    <w:rPr>
      <w:sz w:val="20"/>
      <w:szCs w:val="20"/>
    </w:rPr>
  </w:style>
  <w:style w:type="paragraph" w:styleId="Pedmtkomente">
    <w:name w:val="annotation subject"/>
    <w:basedOn w:val="Textkomente"/>
    <w:next w:val="Textkomente"/>
    <w:link w:val="PedmtkomenteChar"/>
    <w:uiPriority w:val="99"/>
    <w:semiHidden/>
    <w:unhideWhenUsed/>
    <w:rsid w:val="00A34A12"/>
    <w:rPr>
      <w:b/>
      <w:bCs/>
    </w:rPr>
  </w:style>
  <w:style w:type="character" w:customStyle="1" w:styleId="PedmtkomenteChar">
    <w:name w:val="Předmět komentáře Char"/>
    <w:basedOn w:val="TextkomenteChar"/>
    <w:link w:val="Pedmtkomente"/>
    <w:uiPriority w:val="99"/>
    <w:semiHidden/>
    <w:rsid w:val="00A34A12"/>
    <w:rPr>
      <w:b/>
      <w:bCs/>
      <w:sz w:val="20"/>
      <w:szCs w:val="20"/>
    </w:rPr>
  </w:style>
  <w:style w:type="paragraph" w:styleId="Textbubliny">
    <w:name w:val="Balloon Text"/>
    <w:basedOn w:val="Normln"/>
    <w:link w:val="TextbublinyChar"/>
    <w:uiPriority w:val="99"/>
    <w:semiHidden/>
    <w:unhideWhenUsed/>
    <w:rsid w:val="00A34A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4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710">
      <w:bodyDiv w:val="1"/>
      <w:marLeft w:val="0"/>
      <w:marRight w:val="0"/>
      <w:marTop w:val="0"/>
      <w:marBottom w:val="0"/>
      <w:divBdr>
        <w:top w:val="none" w:sz="0" w:space="0" w:color="auto"/>
        <w:left w:val="none" w:sz="0" w:space="0" w:color="auto"/>
        <w:bottom w:val="none" w:sz="0" w:space="0" w:color="auto"/>
        <w:right w:val="none" w:sz="0" w:space="0" w:color="auto"/>
      </w:divBdr>
    </w:div>
    <w:div w:id="126515196">
      <w:bodyDiv w:val="1"/>
      <w:marLeft w:val="0"/>
      <w:marRight w:val="0"/>
      <w:marTop w:val="0"/>
      <w:marBottom w:val="0"/>
      <w:divBdr>
        <w:top w:val="none" w:sz="0" w:space="0" w:color="auto"/>
        <w:left w:val="none" w:sz="0" w:space="0" w:color="auto"/>
        <w:bottom w:val="none" w:sz="0" w:space="0" w:color="auto"/>
        <w:right w:val="none" w:sz="0" w:space="0" w:color="auto"/>
      </w:divBdr>
    </w:div>
    <w:div w:id="395008780">
      <w:bodyDiv w:val="1"/>
      <w:marLeft w:val="0"/>
      <w:marRight w:val="0"/>
      <w:marTop w:val="0"/>
      <w:marBottom w:val="0"/>
      <w:divBdr>
        <w:top w:val="none" w:sz="0" w:space="0" w:color="auto"/>
        <w:left w:val="none" w:sz="0" w:space="0" w:color="auto"/>
        <w:bottom w:val="none" w:sz="0" w:space="0" w:color="auto"/>
        <w:right w:val="none" w:sz="0" w:space="0" w:color="auto"/>
      </w:divBdr>
    </w:div>
    <w:div w:id="751047996">
      <w:bodyDiv w:val="1"/>
      <w:marLeft w:val="0"/>
      <w:marRight w:val="0"/>
      <w:marTop w:val="0"/>
      <w:marBottom w:val="0"/>
      <w:divBdr>
        <w:top w:val="none" w:sz="0" w:space="0" w:color="auto"/>
        <w:left w:val="none" w:sz="0" w:space="0" w:color="auto"/>
        <w:bottom w:val="none" w:sz="0" w:space="0" w:color="auto"/>
        <w:right w:val="none" w:sz="0" w:space="0" w:color="auto"/>
      </w:divBdr>
    </w:div>
    <w:div w:id="984314238">
      <w:bodyDiv w:val="1"/>
      <w:marLeft w:val="0"/>
      <w:marRight w:val="0"/>
      <w:marTop w:val="0"/>
      <w:marBottom w:val="0"/>
      <w:divBdr>
        <w:top w:val="none" w:sz="0" w:space="0" w:color="auto"/>
        <w:left w:val="none" w:sz="0" w:space="0" w:color="auto"/>
        <w:bottom w:val="none" w:sz="0" w:space="0" w:color="auto"/>
        <w:right w:val="none" w:sz="0" w:space="0" w:color="auto"/>
      </w:divBdr>
    </w:div>
    <w:div w:id="1024330539">
      <w:bodyDiv w:val="1"/>
      <w:marLeft w:val="0"/>
      <w:marRight w:val="0"/>
      <w:marTop w:val="0"/>
      <w:marBottom w:val="0"/>
      <w:divBdr>
        <w:top w:val="none" w:sz="0" w:space="0" w:color="auto"/>
        <w:left w:val="none" w:sz="0" w:space="0" w:color="auto"/>
        <w:bottom w:val="none" w:sz="0" w:space="0" w:color="auto"/>
        <w:right w:val="none" w:sz="0" w:space="0" w:color="auto"/>
      </w:divBdr>
    </w:div>
    <w:div w:id="1189178317">
      <w:bodyDiv w:val="1"/>
      <w:marLeft w:val="0"/>
      <w:marRight w:val="0"/>
      <w:marTop w:val="0"/>
      <w:marBottom w:val="0"/>
      <w:divBdr>
        <w:top w:val="none" w:sz="0" w:space="0" w:color="auto"/>
        <w:left w:val="none" w:sz="0" w:space="0" w:color="auto"/>
        <w:bottom w:val="none" w:sz="0" w:space="0" w:color="auto"/>
        <w:right w:val="none" w:sz="0" w:space="0" w:color="auto"/>
      </w:divBdr>
    </w:div>
    <w:div w:id="1534805381">
      <w:bodyDiv w:val="1"/>
      <w:marLeft w:val="0"/>
      <w:marRight w:val="0"/>
      <w:marTop w:val="0"/>
      <w:marBottom w:val="0"/>
      <w:divBdr>
        <w:top w:val="none" w:sz="0" w:space="0" w:color="auto"/>
        <w:left w:val="none" w:sz="0" w:space="0" w:color="auto"/>
        <w:bottom w:val="none" w:sz="0" w:space="0" w:color="auto"/>
        <w:right w:val="none" w:sz="0" w:space="0" w:color="auto"/>
      </w:divBdr>
    </w:div>
    <w:div w:id="1601985498">
      <w:bodyDiv w:val="1"/>
      <w:marLeft w:val="0"/>
      <w:marRight w:val="0"/>
      <w:marTop w:val="0"/>
      <w:marBottom w:val="0"/>
      <w:divBdr>
        <w:top w:val="none" w:sz="0" w:space="0" w:color="auto"/>
        <w:left w:val="none" w:sz="0" w:space="0" w:color="auto"/>
        <w:bottom w:val="none" w:sz="0" w:space="0" w:color="auto"/>
        <w:right w:val="none" w:sz="0" w:space="0" w:color="auto"/>
      </w:divBdr>
    </w:div>
    <w:div w:id="1713264890">
      <w:bodyDiv w:val="1"/>
      <w:marLeft w:val="0"/>
      <w:marRight w:val="0"/>
      <w:marTop w:val="0"/>
      <w:marBottom w:val="0"/>
      <w:divBdr>
        <w:top w:val="none" w:sz="0" w:space="0" w:color="auto"/>
        <w:left w:val="none" w:sz="0" w:space="0" w:color="auto"/>
        <w:bottom w:val="none" w:sz="0" w:space="0" w:color="auto"/>
        <w:right w:val="none" w:sz="0" w:space="0" w:color="auto"/>
      </w:divBdr>
    </w:div>
    <w:div w:id="1819761332">
      <w:bodyDiv w:val="1"/>
      <w:marLeft w:val="0"/>
      <w:marRight w:val="0"/>
      <w:marTop w:val="0"/>
      <w:marBottom w:val="0"/>
      <w:divBdr>
        <w:top w:val="none" w:sz="0" w:space="0" w:color="auto"/>
        <w:left w:val="none" w:sz="0" w:space="0" w:color="auto"/>
        <w:bottom w:val="none" w:sz="0" w:space="0" w:color="auto"/>
        <w:right w:val="none" w:sz="0" w:space="0" w:color="auto"/>
      </w:divBdr>
    </w:div>
    <w:div w:id="19312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14" ma:contentTypeDescription="Vytvoří nový dokument" ma:contentTypeScope="" ma:versionID="d7b19772611c0f0f86cf6ec3b31b78c3">
  <xsd:schema xmlns:xsd="http://www.w3.org/2001/XMLSchema" xmlns:xs="http://www.w3.org/2001/XMLSchema" xmlns:p="http://schemas.microsoft.com/office/2006/metadata/properties" xmlns:ns3="352ce92f-50f3-4253-9fad-b6e5ea204dd5" xmlns:ns4="69365a4e-5cc1-45d8-b5f0-9df5c3b03723" targetNamespace="http://schemas.microsoft.com/office/2006/metadata/properties" ma:root="true" ma:fieldsID="2bdb66be40515d15d2bb26d8ee853d21" ns3:_="" ns4:_="">
    <xsd:import namespace="352ce92f-50f3-4253-9fad-b6e5ea204dd5"/>
    <xsd:import namespace="69365a4e-5cc1-45d8-b5f0-9df5c3b037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65a4e-5cc1-45d8-b5f0-9df5c3b03723"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9271-4ACB-4C56-A7FD-63F3B8C9192B}">
  <ds:schemaRefs>
    <ds:schemaRef ds:uri="http://schemas.microsoft.com/sharepoint/v3/contenttype/forms"/>
  </ds:schemaRefs>
</ds:datastoreItem>
</file>

<file path=customXml/itemProps2.xml><?xml version="1.0" encoding="utf-8"?>
<ds:datastoreItem xmlns:ds="http://schemas.openxmlformats.org/officeDocument/2006/customXml" ds:itemID="{F3116E51-C4A5-4178-8C3C-0445F9EF3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CB7D1-DCFC-4679-B3F1-100CE42D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69365a4e-5cc1-45d8-b5f0-9df5c3b03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3C7C0-4532-490C-A720-AACBE507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9784</Words>
  <Characters>57728</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67378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Michal Ing.</dc:creator>
  <cp:keywords/>
  <dc:description/>
  <cp:lastModifiedBy>Michalčík Ondřej JUDr.</cp:lastModifiedBy>
  <cp:revision>2</cp:revision>
  <cp:lastPrinted>2022-01-17T11:35:00Z</cp:lastPrinted>
  <dcterms:created xsi:type="dcterms:W3CDTF">2022-01-18T10:01:00Z</dcterms:created>
  <dcterms:modified xsi:type="dcterms:W3CDTF">2022-01-18T10:01:00Z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