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2D" w:rsidRDefault="5C7DEAD6" w:rsidP="00A619AB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F0A3F33" wp14:editId="27276A49">
            <wp:extent cx="5753098" cy="1247775"/>
            <wp:effectExtent l="0" t="0" r="0" b="9525"/>
            <wp:docPr id="190312788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62D" w:rsidRPr="003C5DF4" w:rsidRDefault="0086062D" w:rsidP="0086062D"/>
    <w:p w:rsidR="0086062D" w:rsidRDefault="0086062D" w:rsidP="0086062D">
      <w:pPr>
        <w:jc w:val="center"/>
        <w:rPr>
          <w:b/>
          <w:sz w:val="36"/>
          <w:szCs w:val="36"/>
        </w:rPr>
      </w:pPr>
    </w:p>
    <w:p w:rsidR="0086062D" w:rsidRDefault="0086062D" w:rsidP="0086062D">
      <w:pPr>
        <w:jc w:val="center"/>
        <w:rPr>
          <w:b/>
          <w:sz w:val="36"/>
          <w:szCs w:val="36"/>
        </w:rPr>
      </w:pPr>
    </w:p>
    <w:p w:rsidR="0086062D" w:rsidRDefault="0086062D" w:rsidP="0086062D">
      <w:pPr>
        <w:jc w:val="center"/>
        <w:rPr>
          <w:b/>
          <w:sz w:val="36"/>
          <w:szCs w:val="36"/>
        </w:rPr>
      </w:pPr>
    </w:p>
    <w:p w:rsidR="0086062D" w:rsidRDefault="0086062D" w:rsidP="0086062D">
      <w:pPr>
        <w:jc w:val="center"/>
        <w:rPr>
          <w:b/>
          <w:sz w:val="36"/>
          <w:szCs w:val="36"/>
        </w:rPr>
      </w:pPr>
    </w:p>
    <w:p w:rsidR="0086062D" w:rsidRPr="003C5DF4" w:rsidRDefault="0086062D" w:rsidP="0086062D">
      <w:pPr>
        <w:pStyle w:val="Titulnstrana"/>
        <w:rPr>
          <w:sz w:val="36"/>
          <w:szCs w:val="36"/>
        </w:rPr>
      </w:pPr>
    </w:p>
    <w:p w:rsidR="0086062D" w:rsidRDefault="0056170C" w:rsidP="00455ADE">
      <w:pPr>
        <w:pStyle w:val="Default"/>
        <w:jc w:val="center"/>
        <w:rPr>
          <w:b/>
        </w:rPr>
      </w:pPr>
      <w:r w:rsidRPr="0056170C">
        <w:rPr>
          <w:b/>
          <w:bCs/>
          <w:sz w:val="36"/>
          <w:szCs w:val="36"/>
        </w:rPr>
        <w:t xml:space="preserve">Návrh využití </w:t>
      </w:r>
      <w:r w:rsidR="00E4272B">
        <w:rPr>
          <w:b/>
          <w:bCs/>
          <w:sz w:val="36"/>
          <w:szCs w:val="36"/>
        </w:rPr>
        <w:t>prostředků</w:t>
      </w:r>
      <w:r w:rsidRPr="0056170C">
        <w:rPr>
          <w:b/>
          <w:bCs/>
          <w:sz w:val="36"/>
          <w:szCs w:val="36"/>
        </w:rPr>
        <w:t xml:space="preserve"> </w:t>
      </w:r>
      <w:r w:rsidR="00F57625">
        <w:rPr>
          <w:b/>
          <w:bCs/>
          <w:sz w:val="36"/>
          <w:szCs w:val="36"/>
        </w:rPr>
        <w:t>React</w:t>
      </w:r>
      <w:r w:rsidRPr="0056170C">
        <w:rPr>
          <w:b/>
          <w:bCs/>
          <w:sz w:val="36"/>
          <w:szCs w:val="36"/>
        </w:rPr>
        <w:t xml:space="preserve">EU </w:t>
      </w:r>
      <w:r w:rsidR="00307FF8">
        <w:rPr>
          <w:b/>
          <w:bCs/>
          <w:sz w:val="36"/>
          <w:szCs w:val="36"/>
        </w:rPr>
        <w:t>a přesunu</w:t>
      </w:r>
      <w:r w:rsidR="00E4272B">
        <w:rPr>
          <w:b/>
          <w:bCs/>
          <w:sz w:val="36"/>
          <w:szCs w:val="36"/>
        </w:rPr>
        <w:t xml:space="preserve"> prostředků mezi operačními programy </w:t>
      </w:r>
      <w:r w:rsidRPr="0056170C">
        <w:rPr>
          <w:b/>
          <w:bCs/>
          <w:sz w:val="36"/>
          <w:szCs w:val="36"/>
        </w:rPr>
        <w:t>v rámci programového období 2014-2020</w:t>
      </w:r>
      <w:r w:rsidR="00E4272B">
        <w:rPr>
          <w:b/>
          <w:bCs/>
          <w:sz w:val="36"/>
          <w:szCs w:val="36"/>
        </w:rPr>
        <w:t xml:space="preserve"> a návrh implementace Fondu pro spravedlivou transformaci v programovém období 2021-2027</w:t>
      </w:r>
    </w:p>
    <w:p w:rsidR="0086062D" w:rsidRPr="003C5DF4" w:rsidRDefault="0086062D" w:rsidP="0086062D">
      <w:pPr>
        <w:tabs>
          <w:tab w:val="left" w:pos="6105"/>
        </w:tabs>
        <w:jc w:val="center"/>
        <w:rPr>
          <w:b/>
          <w:sz w:val="36"/>
          <w:szCs w:val="36"/>
        </w:rPr>
      </w:pPr>
    </w:p>
    <w:p w:rsidR="0086062D" w:rsidRDefault="0086062D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86062D" w:rsidRDefault="0086062D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86062D" w:rsidRDefault="0086062D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86062D" w:rsidRDefault="0086062D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86062D" w:rsidRDefault="0086062D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86062D" w:rsidRDefault="0086062D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B26937" w:rsidRDefault="00B26937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B26937" w:rsidRDefault="00B26937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B26937" w:rsidRDefault="00B26937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86062D" w:rsidRDefault="0086062D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86062D" w:rsidRDefault="0086062D" w:rsidP="0086062D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86062D" w:rsidRDefault="004309E9" w:rsidP="0086062D">
      <w:pPr>
        <w:pStyle w:val="Titulnstrana"/>
        <w:rPr>
          <w:b w:val="0"/>
        </w:rPr>
      </w:pPr>
      <w:r>
        <w:rPr>
          <w:b w:val="0"/>
        </w:rPr>
        <w:t>červenec</w:t>
      </w:r>
      <w:r w:rsidRPr="000701E9">
        <w:rPr>
          <w:b w:val="0"/>
        </w:rPr>
        <w:t xml:space="preserve"> </w:t>
      </w:r>
      <w:r w:rsidR="0086062D">
        <w:rPr>
          <w:b w:val="0"/>
        </w:rPr>
        <w:t>2020</w:t>
      </w:r>
    </w:p>
    <w:p w:rsidR="00542546" w:rsidRPr="009A3D1A" w:rsidRDefault="00E4272B" w:rsidP="0017146E">
      <w:pPr>
        <w:pStyle w:val="Nadpis1"/>
        <w:numPr>
          <w:ilvl w:val="0"/>
          <w:numId w:val="11"/>
        </w:numPr>
        <w:rPr>
          <w:b/>
        </w:rPr>
      </w:pPr>
      <w:r w:rsidRPr="009A3D1A">
        <w:rPr>
          <w:b/>
        </w:rPr>
        <w:lastRenderedPageBreak/>
        <w:t xml:space="preserve">Návrh využití prostředků </w:t>
      </w:r>
      <w:r w:rsidR="00F57625">
        <w:rPr>
          <w:b/>
        </w:rPr>
        <w:t>React</w:t>
      </w:r>
      <w:r w:rsidRPr="009A3D1A">
        <w:rPr>
          <w:b/>
        </w:rPr>
        <w:t xml:space="preserve">EU v programovém </w:t>
      </w:r>
      <w:r w:rsidR="009A3D1A">
        <w:rPr>
          <w:b/>
        </w:rPr>
        <w:t xml:space="preserve">období </w:t>
      </w:r>
      <w:r w:rsidRPr="009A3D1A">
        <w:rPr>
          <w:b/>
        </w:rPr>
        <w:t>2014-2020</w:t>
      </w:r>
    </w:p>
    <w:p w:rsidR="00542546" w:rsidRDefault="00542546" w:rsidP="00C9187F">
      <w:pPr>
        <w:rPr>
          <w:b/>
          <w:u w:val="single"/>
        </w:rPr>
      </w:pPr>
    </w:p>
    <w:p w:rsidR="00C9187F" w:rsidRDefault="00C46AA9" w:rsidP="0017146E">
      <w:pPr>
        <w:pStyle w:val="Nadpis2"/>
        <w:numPr>
          <w:ilvl w:val="1"/>
          <w:numId w:val="12"/>
        </w:numPr>
      </w:pPr>
      <w:r>
        <w:t>Shrnutí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87F" w:rsidRPr="00E14C29" w:rsidTr="006252D3">
        <w:tc>
          <w:tcPr>
            <w:tcW w:w="9062" w:type="dxa"/>
            <w:shd w:val="clear" w:color="auto" w:fill="DEEAF6" w:themeFill="accent1" w:themeFillTint="33"/>
          </w:tcPr>
          <w:p w:rsidR="00C46AA9" w:rsidRDefault="00C46AA9" w:rsidP="00C46AA9">
            <w:pPr>
              <w:spacing w:after="0" w:line="240" w:lineRule="auto"/>
            </w:pPr>
          </w:p>
          <w:p w:rsidR="00C9187F" w:rsidRPr="00C46AA9" w:rsidRDefault="00C46AA9" w:rsidP="00C46AA9">
            <w:pPr>
              <w:spacing w:after="0" w:line="240" w:lineRule="auto"/>
              <w:rPr>
                <w:rFonts w:cs="Arial"/>
                <w:szCs w:val="20"/>
              </w:rPr>
            </w:pPr>
            <w:r w:rsidRPr="00C46AA9">
              <w:rPr>
                <w:rFonts w:cs="Arial"/>
                <w:szCs w:val="20"/>
              </w:rPr>
              <w:t xml:space="preserve">Prostředky </w:t>
            </w:r>
            <w:r w:rsidR="00F57625">
              <w:rPr>
                <w:rFonts w:cs="Arial"/>
                <w:szCs w:val="20"/>
              </w:rPr>
              <w:t>React</w:t>
            </w:r>
            <w:r w:rsidRPr="00C46AA9">
              <w:rPr>
                <w:rFonts w:cs="Arial"/>
                <w:szCs w:val="20"/>
              </w:rPr>
              <w:t xml:space="preserve">EU přidělené České republice budou v souladu s požadavky EU na jejich použití </w:t>
            </w:r>
            <w:r w:rsidR="00162E27">
              <w:rPr>
                <w:rFonts w:cs="Arial"/>
                <w:szCs w:val="20"/>
              </w:rPr>
              <w:t xml:space="preserve">vyplývajících z nařízení </w:t>
            </w:r>
            <w:r w:rsidR="00F57625">
              <w:rPr>
                <w:rFonts w:cs="Arial"/>
                <w:szCs w:val="20"/>
              </w:rPr>
              <w:t>React</w:t>
            </w:r>
            <w:r w:rsidR="00162E27">
              <w:rPr>
                <w:rFonts w:cs="Arial"/>
                <w:szCs w:val="20"/>
              </w:rPr>
              <w:t xml:space="preserve">EU </w:t>
            </w:r>
            <w:r w:rsidRPr="00C46AA9">
              <w:rPr>
                <w:rFonts w:cs="Arial"/>
                <w:szCs w:val="20"/>
              </w:rPr>
              <w:t>alokovány do</w:t>
            </w:r>
            <w:r w:rsidR="00AA7DA4">
              <w:rPr>
                <w:rFonts w:cs="Arial"/>
                <w:szCs w:val="20"/>
              </w:rPr>
              <w:t xml:space="preserve"> Integrovaného regionálního operačního programu</w:t>
            </w:r>
            <w:r w:rsidRPr="00C46AA9">
              <w:rPr>
                <w:rFonts w:cs="Arial"/>
                <w:szCs w:val="20"/>
              </w:rPr>
              <w:t xml:space="preserve"> </w:t>
            </w:r>
            <w:r w:rsidR="00AA7DA4">
              <w:rPr>
                <w:rFonts w:cs="Arial"/>
                <w:szCs w:val="20"/>
              </w:rPr>
              <w:t>(</w:t>
            </w:r>
            <w:r w:rsidRPr="00C46AA9">
              <w:rPr>
                <w:rFonts w:cs="Arial"/>
                <w:szCs w:val="20"/>
              </w:rPr>
              <w:t>IROP</w:t>
            </w:r>
            <w:r w:rsidR="00AA7DA4">
              <w:rPr>
                <w:rFonts w:cs="Arial"/>
                <w:szCs w:val="20"/>
              </w:rPr>
              <w:t>)</w:t>
            </w:r>
            <w:r w:rsidRPr="00C46AA9">
              <w:rPr>
                <w:rFonts w:cs="Arial"/>
                <w:szCs w:val="20"/>
              </w:rPr>
              <w:t xml:space="preserve"> na podporu zdravotnictví, integrovaného záchranného systému, kybernetickou bezpečnost</w:t>
            </w:r>
            <w:r w:rsidR="00F85E9B">
              <w:rPr>
                <w:rFonts w:cs="Arial"/>
                <w:szCs w:val="20"/>
              </w:rPr>
              <w:t>, sociální služby, cyklodopravu</w:t>
            </w:r>
            <w:r w:rsidRPr="00C46AA9">
              <w:rPr>
                <w:rFonts w:cs="Arial"/>
                <w:szCs w:val="20"/>
              </w:rPr>
              <w:t xml:space="preserve"> a </w:t>
            </w:r>
            <w:r w:rsidR="00162E27">
              <w:rPr>
                <w:rFonts w:cs="Arial"/>
                <w:szCs w:val="20"/>
              </w:rPr>
              <w:t xml:space="preserve">doplňkově </w:t>
            </w:r>
            <w:r w:rsidRPr="00C46AA9">
              <w:rPr>
                <w:rFonts w:cs="Arial"/>
                <w:szCs w:val="20"/>
              </w:rPr>
              <w:t>technickou pomoc.</w:t>
            </w:r>
          </w:p>
          <w:p w:rsidR="00C46AA9" w:rsidRPr="00095FC0" w:rsidRDefault="00C46AA9" w:rsidP="00C46AA9">
            <w:pPr>
              <w:spacing w:after="0" w:line="240" w:lineRule="auto"/>
            </w:pPr>
          </w:p>
        </w:tc>
      </w:tr>
    </w:tbl>
    <w:p w:rsidR="00C9187F" w:rsidRDefault="00C9187F" w:rsidP="00C9187F"/>
    <w:p w:rsidR="002C1233" w:rsidRPr="002C1233" w:rsidRDefault="00FE7F50" w:rsidP="0017146E">
      <w:pPr>
        <w:pStyle w:val="Nadpis2"/>
        <w:numPr>
          <w:ilvl w:val="1"/>
          <w:numId w:val="12"/>
        </w:numPr>
      </w:pPr>
      <w:r w:rsidRPr="009A3D1A">
        <w:t xml:space="preserve">Dodatečná alokace </w:t>
      </w:r>
      <w:r w:rsidR="005C3AE0">
        <w:t>k </w:t>
      </w:r>
      <w:r w:rsidRPr="009A3D1A">
        <w:t xml:space="preserve">ESIF </w:t>
      </w:r>
      <w:r w:rsidR="00F80E7B">
        <w:t>z</w:t>
      </w:r>
      <w:r w:rsidRPr="009A3D1A">
        <w:t xml:space="preserve"> </w:t>
      </w:r>
      <w:r w:rsidR="00F57625">
        <w:t>React</w:t>
      </w:r>
      <w:r w:rsidR="00D45F90" w:rsidRPr="009A3D1A">
        <w:t>EU</w:t>
      </w:r>
    </w:p>
    <w:p w:rsidR="00C9187F" w:rsidRPr="00DC19E2" w:rsidRDefault="00C9187F" w:rsidP="006252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cs="Arial"/>
          <w:szCs w:val="20"/>
        </w:rPr>
      </w:pPr>
      <w:r w:rsidRPr="00DC19E2">
        <w:rPr>
          <w:rFonts w:cs="Arial"/>
          <w:szCs w:val="20"/>
        </w:rPr>
        <w:t xml:space="preserve">Globální šíření koronaviru vedlo </w:t>
      </w:r>
      <w:r w:rsidR="00D45F90" w:rsidRPr="00DC19E2">
        <w:rPr>
          <w:rFonts w:cs="Arial"/>
          <w:szCs w:val="20"/>
        </w:rPr>
        <w:t>členské státy EU</w:t>
      </w:r>
      <w:r w:rsidRPr="00DC19E2">
        <w:rPr>
          <w:rFonts w:cs="Arial"/>
          <w:szCs w:val="20"/>
        </w:rPr>
        <w:t xml:space="preserve"> k zavedení bezprecedentních opatření k omezení pandemie</w:t>
      </w:r>
      <w:r w:rsidR="00FE7F50" w:rsidRPr="00DC19E2">
        <w:rPr>
          <w:rFonts w:cs="Arial"/>
          <w:szCs w:val="20"/>
        </w:rPr>
        <w:t>. Opatření však přinesla také</w:t>
      </w:r>
      <w:r w:rsidR="00D45F90" w:rsidRPr="00DC19E2">
        <w:rPr>
          <w:rFonts w:cs="Arial"/>
          <w:szCs w:val="20"/>
        </w:rPr>
        <w:t xml:space="preserve"> </w:t>
      </w:r>
      <w:r w:rsidRPr="00DC19E2">
        <w:rPr>
          <w:rFonts w:cs="Arial"/>
          <w:szCs w:val="20"/>
        </w:rPr>
        <w:t xml:space="preserve">strmý pokles výkonu mnoha ekonomik a závažné sociální důsledky. V oblasti veřejných financí a řízení dluhu se státy budou s touto situací potýkat </w:t>
      </w:r>
      <w:r w:rsidR="00B75F8B">
        <w:rPr>
          <w:rFonts w:cs="Arial"/>
          <w:szCs w:val="20"/>
        </w:rPr>
        <w:br/>
      </w:r>
      <w:r w:rsidRPr="00DC19E2">
        <w:rPr>
          <w:rFonts w:cs="Arial"/>
          <w:szCs w:val="20"/>
        </w:rPr>
        <w:t>i v</w:t>
      </w:r>
      <w:r w:rsidR="00F80E7B">
        <w:rPr>
          <w:rFonts w:cs="Arial"/>
          <w:szCs w:val="20"/>
        </w:rPr>
        <w:t> </w:t>
      </w:r>
      <w:r w:rsidRPr="00DC19E2">
        <w:rPr>
          <w:rFonts w:cs="Arial"/>
          <w:szCs w:val="20"/>
        </w:rPr>
        <w:t xml:space="preserve">nadcházejících letech, což může omezit veřejné investice nezbytné k hospodářskému oživení. Schopnost jednotlivých zemí a regionů vypořádat se s projevy krize se navíc bude lišit podle struktury jejich hospodářství a rozpočtové situace. </w:t>
      </w:r>
    </w:p>
    <w:p w:rsidR="00C9187F" w:rsidRPr="00DC19E2" w:rsidRDefault="00C9187F" w:rsidP="00C9187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cs="Arial"/>
          <w:szCs w:val="20"/>
        </w:rPr>
      </w:pPr>
      <w:r w:rsidRPr="00DC19E2">
        <w:rPr>
          <w:rFonts w:cs="Arial"/>
          <w:szCs w:val="20"/>
        </w:rPr>
        <w:t xml:space="preserve">Aby se rozdíly mezi členskými státy EU dále neprohlubovaly a oživení neprobíhalo nerovnoměrně, </w:t>
      </w:r>
      <w:r w:rsidR="00FE7F50" w:rsidRPr="00DC19E2">
        <w:rPr>
          <w:rFonts w:cs="Arial"/>
          <w:b/>
          <w:szCs w:val="20"/>
        </w:rPr>
        <w:t>navrhla Evropská komise (EK)</w:t>
      </w:r>
      <w:r w:rsidRPr="00DC19E2">
        <w:rPr>
          <w:rFonts w:cs="Arial"/>
          <w:b/>
          <w:szCs w:val="20"/>
        </w:rPr>
        <w:t xml:space="preserve"> dne 28. května 2020 návrh nařízení, tzv. </w:t>
      </w:r>
      <w:r w:rsidR="00F57625">
        <w:rPr>
          <w:rFonts w:cs="Arial"/>
          <w:b/>
          <w:szCs w:val="20"/>
        </w:rPr>
        <w:t>React</w:t>
      </w:r>
      <w:r w:rsidRPr="00DC19E2">
        <w:rPr>
          <w:rFonts w:cs="Arial"/>
          <w:b/>
          <w:szCs w:val="20"/>
        </w:rPr>
        <w:t>EU</w:t>
      </w:r>
      <w:r w:rsidR="00084FEA">
        <w:rPr>
          <w:rStyle w:val="Znakapoznpodarou"/>
          <w:rFonts w:cs="Arial"/>
          <w:b/>
          <w:szCs w:val="20"/>
        </w:rPr>
        <w:footnoteReference w:id="2"/>
      </w:r>
      <w:r w:rsidRPr="00DC19E2">
        <w:rPr>
          <w:rFonts w:cs="Arial"/>
          <w:szCs w:val="20"/>
        </w:rPr>
        <w:t xml:space="preserve">, který má vést k posílení schopnosti členských států reagovat na krizi, pomoci jejich ekonomikám a lidem situaci překonat a položit základy pro rychlé oživení jejich hospodářství. </w:t>
      </w:r>
    </w:p>
    <w:p w:rsidR="00FE7F50" w:rsidRDefault="00C9187F" w:rsidP="002C123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cs="Arial"/>
          <w:szCs w:val="20"/>
        </w:rPr>
      </w:pPr>
      <w:r w:rsidRPr="002C1233">
        <w:rPr>
          <w:rFonts w:cs="Arial"/>
          <w:szCs w:val="20"/>
        </w:rPr>
        <w:t xml:space="preserve">EK </w:t>
      </w:r>
      <w:r w:rsidR="00FE7F50" w:rsidRPr="002C1233">
        <w:rPr>
          <w:rFonts w:cs="Arial"/>
          <w:szCs w:val="20"/>
        </w:rPr>
        <w:t xml:space="preserve">mj. </w:t>
      </w:r>
      <w:r w:rsidRPr="002C1233">
        <w:rPr>
          <w:rFonts w:cs="Arial"/>
          <w:szCs w:val="20"/>
        </w:rPr>
        <w:t>navrh</w:t>
      </w:r>
      <w:r w:rsidR="005C3AE0">
        <w:rPr>
          <w:rFonts w:cs="Arial"/>
          <w:szCs w:val="20"/>
        </w:rPr>
        <w:t>la</w:t>
      </w:r>
      <w:r w:rsidRPr="002C1233">
        <w:rPr>
          <w:rFonts w:cs="Arial"/>
          <w:szCs w:val="20"/>
        </w:rPr>
        <w:t xml:space="preserve"> </w:t>
      </w:r>
      <w:r w:rsidR="00FE7F50" w:rsidRPr="002C1233">
        <w:rPr>
          <w:rFonts w:cs="Arial"/>
          <w:szCs w:val="20"/>
        </w:rPr>
        <w:t>revidovat</w:t>
      </w:r>
      <w:r w:rsidRPr="002C1233">
        <w:rPr>
          <w:rFonts w:cs="Arial"/>
          <w:szCs w:val="20"/>
        </w:rPr>
        <w:t xml:space="preserve"> </w:t>
      </w:r>
      <w:r w:rsidR="005C3AE0">
        <w:rPr>
          <w:rFonts w:cs="Arial"/>
          <w:szCs w:val="20"/>
        </w:rPr>
        <w:t xml:space="preserve">poslední rok </w:t>
      </w:r>
      <w:r w:rsidRPr="002C1233">
        <w:rPr>
          <w:rFonts w:cs="Arial"/>
          <w:szCs w:val="20"/>
        </w:rPr>
        <w:t>vícelet</w:t>
      </w:r>
      <w:r w:rsidR="005C3AE0">
        <w:rPr>
          <w:rFonts w:cs="Arial"/>
          <w:szCs w:val="20"/>
        </w:rPr>
        <w:t>ého</w:t>
      </w:r>
      <w:r w:rsidRPr="002C1233">
        <w:rPr>
          <w:rFonts w:cs="Arial"/>
          <w:szCs w:val="20"/>
        </w:rPr>
        <w:t xml:space="preserve"> finanční</w:t>
      </w:r>
      <w:r w:rsidR="005C3AE0">
        <w:rPr>
          <w:rFonts w:cs="Arial"/>
          <w:szCs w:val="20"/>
        </w:rPr>
        <w:t>ho</w:t>
      </w:r>
      <w:r w:rsidRPr="002C1233">
        <w:rPr>
          <w:rFonts w:cs="Arial"/>
          <w:szCs w:val="20"/>
        </w:rPr>
        <w:t xml:space="preserve"> rámc</w:t>
      </w:r>
      <w:r w:rsidR="005C3AE0">
        <w:rPr>
          <w:rFonts w:cs="Arial"/>
          <w:szCs w:val="20"/>
        </w:rPr>
        <w:t>e</w:t>
      </w:r>
      <w:r w:rsidRPr="002C1233">
        <w:rPr>
          <w:rFonts w:cs="Arial"/>
          <w:szCs w:val="20"/>
        </w:rPr>
        <w:t xml:space="preserve"> na současné programové období 2014–2020 a posíl</w:t>
      </w:r>
      <w:r w:rsidR="00FE7F50" w:rsidRPr="002C1233">
        <w:rPr>
          <w:rFonts w:cs="Arial"/>
          <w:szCs w:val="20"/>
        </w:rPr>
        <w:t>it</w:t>
      </w:r>
      <w:r w:rsidR="0066528C">
        <w:rPr>
          <w:rFonts w:cs="Arial"/>
          <w:szCs w:val="20"/>
        </w:rPr>
        <w:t xml:space="preserve"> nástroj „EU nové generace“</w:t>
      </w:r>
      <w:r w:rsidRPr="002C1233">
        <w:rPr>
          <w:rFonts w:cs="Arial"/>
          <w:szCs w:val="20"/>
        </w:rPr>
        <w:t xml:space="preserve">. </w:t>
      </w:r>
      <w:r w:rsidR="00FE7F50" w:rsidRPr="002C1233">
        <w:rPr>
          <w:rFonts w:cs="Arial"/>
          <w:szCs w:val="20"/>
        </w:rPr>
        <w:t>C</w:t>
      </w:r>
      <w:r w:rsidRPr="002C1233">
        <w:rPr>
          <w:rFonts w:cs="Arial"/>
          <w:szCs w:val="20"/>
        </w:rPr>
        <w:t>ílem</w:t>
      </w:r>
      <w:r w:rsidR="00FE7F50" w:rsidRPr="002C1233">
        <w:rPr>
          <w:rFonts w:cs="Arial"/>
          <w:szCs w:val="20"/>
        </w:rPr>
        <w:t xml:space="preserve"> je</w:t>
      </w:r>
      <w:r w:rsidRPr="002C1233">
        <w:rPr>
          <w:rFonts w:cs="Arial"/>
          <w:szCs w:val="20"/>
        </w:rPr>
        <w:t xml:space="preserve"> rychle nasměrovat investice tam, kde jich je nejvíce zapotřebí, posílit jednotný trh, prohloubit spolupráci v oblastech jako je zdravotnictví a řešení krizí, a vybavit Unii rozpočtem, jenž bude podporovat dlouhodobý přechod k</w:t>
      </w:r>
      <w:r w:rsidR="00F80E7B">
        <w:rPr>
          <w:rFonts w:cs="Arial"/>
          <w:szCs w:val="20"/>
        </w:rPr>
        <w:t> </w:t>
      </w:r>
      <w:r w:rsidRPr="002C1233">
        <w:rPr>
          <w:rFonts w:cs="Arial"/>
          <w:szCs w:val="20"/>
        </w:rPr>
        <w:t xml:space="preserve">Evropě, jež bude odolnější, ekologičtější a digitální, a zároveň pamatovat na zásady evropského pilíře sociálních práv. </w:t>
      </w:r>
    </w:p>
    <w:p w:rsidR="005C3AE0" w:rsidRPr="002C1233" w:rsidRDefault="005C3AE0" w:rsidP="002C123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Z jednání Rady EUCO ve dnech 17. – 21. července 2020 vyplynulo, že z ReactEU nebude přidělena alokace pro rok 2020, celková výše ReactEU </w:t>
      </w:r>
      <w:r w:rsidR="00C16BF8">
        <w:rPr>
          <w:rFonts w:cs="Arial"/>
          <w:szCs w:val="20"/>
        </w:rPr>
        <w:t xml:space="preserve">mírně </w:t>
      </w:r>
      <w:r>
        <w:rPr>
          <w:rFonts w:cs="Arial"/>
          <w:szCs w:val="20"/>
        </w:rPr>
        <w:t xml:space="preserve">klesla </w:t>
      </w:r>
      <w:r w:rsidR="00C16BF8">
        <w:rPr>
          <w:rFonts w:cs="Arial"/>
          <w:szCs w:val="20"/>
        </w:rPr>
        <w:t xml:space="preserve">z 50 mld. € </w:t>
      </w:r>
      <w:r>
        <w:rPr>
          <w:rFonts w:cs="Arial"/>
          <w:szCs w:val="20"/>
        </w:rPr>
        <w:t>na 47,5 mld. €</w:t>
      </w:r>
      <w:r w:rsidR="0066528C">
        <w:rPr>
          <w:rFonts w:cs="Arial"/>
          <w:szCs w:val="20"/>
        </w:rPr>
        <w:t xml:space="preserve"> a bude plně saturována nástrojem „EU nové generace“</w:t>
      </w:r>
      <w:r>
        <w:rPr>
          <w:rFonts w:cs="Arial"/>
          <w:szCs w:val="20"/>
        </w:rPr>
        <w:t>.</w:t>
      </w:r>
    </w:p>
    <w:p w:rsidR="00F80AFB" w:rsidRPr="006252D3" w:rsidRDefault="00084FEA" w:rsidP="00FE7F5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cs="Arial"/>
          <w:szCs w:val="20"/>
        </w:rPr>
      </w:pPr>
      <w:r w:rsidRPr="00447AE0">
        <w:rPr>
          <w:rFonts w:cs="Arial"/>
          <w:szCs w:val="20"/>
        </w:rPr>
        <w:t>Konkrétní</w:t>
      </w:r>
      <w:r w:rsidRPr="00447AE0">
        <w:rPr>
          <w:rFonts w:cs="Arial"/>
          <w:b/>
          <w:szCs w:val="20"/>
        </w:rPr>
        <w:t xml:space="preserve"> rozdělení dodatečn</w:t>
      </w:r>
      <w:r w:rsidR="00F80E7B">
        <w:rPr>
          <w:rFonts w:cs="Arial"/>
          <w:b/>
          <w:szCs w:val="20"/>
        </w:rPr>
        <w:t>é</w:t>
      </w:r>
      <w:r w:rsidRPr="00447AE0">
        <w:rPr>
          <w:rFonts w:cs="Arial"/>
          <w:b/>
          <w:szCs w:val="20"/>
        </w:rPr>
        <w:t xml:space="preserve"> alokace </w:t>
      </w:r>
      <w:r w:rsidR="005C66C4">
        <w:rPr>
          <w:rFonts w:cs="Arial"/>
          <w:b/>
          <w:szCs w:val="20"/>
        </w:rPr>
        <w:t xml:space="preserve">k </w:t>
      </w:r>
      <w:r w:rsidRPr="00447AE0">
        <w:rPr>
          <w:rFonts w:cs="Arial"/>
          <w:b/>
          <w:szCs w:val="20"/>
        </w:rPr>
        <w:t>ESIF mezi členské státy EU</w:t>
      </w:r>
      <w:r w:rsidRPr="006252D3">
        <w:rPr>
          <w:rFonts w:cs="Arial"/>
          <w:szCs w:val="20"/>
        </w:rPr>
        <w:t xml:space="preserve"> </w:t>
      </w:r>
      <w:r w:rsidR="00B5336A" w:rsidRPr="006252D3">
        <w:rPr>
          <w:rFonts w:cs="Arial"/>
          <w:szCs w:val="20"/>
        </w:rPr>
        <w:t>b</w:t>
      </w:r>
      <w:r w:rsidR="005C3AE0">
        <w:rPr>
          <w:rFonts w:cs="Arial"/>
          <w:szCs w:val="20"/>
        </w:rPr>
        <w:t>ude</w:t>
      </w:r>
      <w:r w:rsidR="00B5336A" w:rsidRPr="006252D3">
        <w:rPr>
          <w:rFonts w:cs="Arial"/>
          <w:szCs w:val="20"/>
        </w:rPr>
        <w:t xml:space="preserve"> </w:t>
      </w:r>
      <w:r w:rsidR="00B5336A" w:rsidRPr="00E3139A">
        <w:rPr>
          <w:rFonts w:cs="Arial"/>
          <w:szCs w:val="20"/>
        </w:rPr>
        <w:t>znám</w:t>
      </w:r>
      <w:r w:rsidR="005C3AE0">
        <w:rPr>
          <w:rFonts w:cs="Arial"/>
          <w:szCs w:val="20"/>
        </w:rPr>
        <w:t>é</w:t>
      </w:r>
      <w:r w:rsidR="00B5336A" w:rsidRPr="00E3139A">
        <w:rPr>
          <w:rFonts w:cs="Arial"/>
          <w:szCs w:val="20"/>
        </w:rPr>
        <w:t xml:space="preserve"> pravděpodobně</w:t>
      </w:r>
      <w:r w:rsidR="00C65328" w:rsidRPr="00E3139A">
        <w:rPr>
          <w:rFonts w:cs="Arial"/>
          <w:szCs w:val="20"/>
        </w:rPr>
        <w:t xml:space="preserve"> v </w:t>
      </w:r>
      <w:r w:rsidR="00AB715F" w:rsidRPr="00E3139A">
        <w:rPr>
          <w:rFonts w:cs="Arial"/>
          <w:szCs w:val="20"/>
        </w:rPr>
        <w:t xml:space="preserve">říjnu </w:t>
      </w:r>
      <w:r w:rsidR="00C65328" w:rsidRPr="00E3139A">
        <w:rPr>
          <w:rFonts w:cs="Arial"/>
          <w:szCs w:val="20"/>
        </w:rPr>
        <w:t>2020</w:t>
      </w:r>
      <w:r w:rsidR="005C66C4">
        <w:rPr>
          <w:rFonts w:cs="Arial"/>
          <w:szCs w:val="20"/>
        </w:rPr>
        <w:t xml:space="preserve">, až budou </w:t>
      </w:r>
      <w:r w:rsidR="00C16BF8">
        <w:rPr>
          <w:rFonts w:cs="Arial"/>
          <w:szCs w:val="20"/>
        </w:rPr>
        <w:t>zveřejněna</w:t>
      </w:r>
      <w:r w:rsidR="005C66C4">
        <w:rPr>
          <w:rFonts w:cs="Arial"/>
          <w:szCs w:val="20"/>
        </w:rPr>
        <w:t xml:space="preserve"> data, na jejichž základě mají být prostředky rozděleny</w:t>
      </w:r>
      <w:r w:rsidR="00C65328" w:rsidRPr="00E3139A">
        <w:rPr>
          <w:rFonts w:cs="Arial"/>
          <w:szCs w:val="20"/>
        </w:rPr>
        <w:t>.</w:t>
      </w:r>
      <w:r w:rsidR="00CF2BDA" w:rsidRPr="00E3139A">
        <w:rPr>
          <w:rFonts w:cs="Arial"/>
          <w:szCs w:val="20"/>
        </w:rPr>
        <w:t xml:space="preserve"> </w:t>
      </w:r>
      <w:r w:rsidR="005C66C4">
        <w:rPr>
          <w:rFonts w:cs="Arial"/>
          <w:szCs w:val="20"/>
        </w:rPr>
        <w:t xml:space="preserve">Podle odhadů a </w:t>
      </w:r>
      <w:r w:rsidR="006252D3" w:rsidRPr="00E3139A">
        <w:rPr>
          <w:rFonts w:cs="Arial"/>
          <w:szCs w:val="20"/>
        </w:rPr>
        <w:t>neoficiálních informací se p</w:t>
      </w:r>
      <w:r w:rsidR="00CF2BDA" w:rsidRPr="00E3139A">
        <w:rPr>
          <w:rFonts w:cs="Arial"/>
          <w:szCs w:val="20"/>
        </w:rPr>
        <w:t>ř</w:t>
      </w:r>
      <w:r w:rsidR="006252D3" w:rsidRPr="00E3139A">
        <w:rPr>
          <w:rFonts w:cs="Arial"/>
          <w:szCs w:val="20"/>
        </w:rPr>
        <w:t>edpokládá</w:t>
      </w:r>
      <w:r w:rsidR="00CF2BDA" w:rsidRPr="00E3139A">
        <w:rPr>
          <w:rFonts w:cs="Arial"/>
          <w:szCs w:val="20"/>
        </w:rPr>
        <w:t xml:space="preserve">, že příděl </w:t>
      </w:r>
      <w:r w:rsidR="00447AE0" w:rsidRPr="00E3139A">
        <w:rPr>
          <w:rFonts w:cs="Arial"/>
          <w:szCs w:val="20"/>
        </w:rPr>
        <w:t>ČR bude ve výši cca</w:t>
      </w:r>
      <w:r w:rsidR="00447AE0" w:rsidRPr="00E3139A">
        <w:rPr>
          <w:rFonts w:cs="Arial"/>
          <w:szCs w:val="20"/>
        </w:rPr>
        <w:br/>
        <w:t>1</w:t>
      </w:r>
      <w:r w:rsidR="00CF2BDA" w:rsidRPr="00E3139A">
        <w:rPr>
          <w:rFonts w:cs="Arial"/>
          <w:szCs w:val="20"/>
        </w:rPr>
        <w:t xml:space="preserve"> mld. </w:t>
      </w:r>
      <w:r w:rsidR="00447AE0" w:rsidRPr="00E3139A">
        <w:rPr>
          <w:rFonts w:cs="Arial"/>
          <w:szCs w:val="20"/>
        </w:rPr>
        <w:t>EUR</w:t>
      </w:r>
      <w:r w:rsidR="00CF2BDA" w:rsidRPr="00E3139A">
        <w:rPr>
          <w:rFonts w:cs="Arial"/>
          <w:szCs w:val="20"/>
        </w:rPr>
        <w:t>.</w:t>
      </w:r>
    </w:p>
    <w:p w:rsidR="00F80AFB" w:rsidRPr="00DC19E2" w:rsidRDefault="00F80AFB" w:rsidP="00FE7F5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K termínu zpracování tohoto materiálu </w:t>
      </w:r>
      <w:r w:rsidR="005C3AE0">
        <w:rPr>
          <w:rFonts w:cs="Arial"/>
          <w:szCs w:val="20"/>
        </w:rPr>
        <w:t xml:space="preserve">dospělo vyjednávání </w:t>
      </w:r>
      <w:r>
        <w:rPr>
          <w:rFonts w:cs="Arial"/>
          <w:szCs w:val="20"/>
        </w:rPr>
        <w:t>text</w:t>
      </w:r>
      <w:r w:rsidR="005C3AE0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nařízení R</w:t>
      </w:r>
      <w:r w:rsidR="00F57625">
        <w:rPr>
          <w:rFonts w:cs="Arial"/>
          <w:szCs w:val="20"/>
        </w:rPr>
        <w:t>eact</w:t>
      </w:r>
      <w:r>
        <w:rPr>
          <w:rFonts w:cs="Arial"/>
          <w:szCs w:val="20"/>
        </w:rPr>
        <w:t>EU</w:t>
      </w:r>
      <w:r w:rsidR="005C3AE0">
        <w:rPr>
          <w:rFonts w:cs="Arial"/>
          <w:szCs w:val="20"/>
        </w:rPr>
        <w:t xml:space="preserve"> ke kompromisnímu stavu v podobě částečného mandátu pro jednávání s Evropským parlamentem</w:t>
      </w:r>
      <w:r>
        <w:rPr>
          <w:rFonts w:cs="Arial"/>
          <w:szCs w:val="20"/>
        </w:rPr>
        <w:t xml:space="preserve">. </w:t>
      </w:r>
      <w:r w:rsidR="005C3AE0">
        <w:rPr>
          <w:rFonts w:cs="Arial"/>
          <w:szCs w:val="20"/>
        </w:rPr>
        <w:t>ČR tento návrh p</w:t>
      </w:r>
      <w:r w:rsidR="0066528C">
        <w:rPr>
          <w:rFonts w:cs="Arial"/>
          <w:szCs w:val="20"/>
        </w:rPr>
        <w:t>o</w:t>
      </w:r>
      <w:r w:rsidR="005C3AE0">
        <w:rPr>
          <w:rFonts w:cs="Arial"/>
          <w:szCs w:val="20"/>
        </w:rPr>
        <w:t>dporuje</w:t>
      </w:r>
      <w:r w:rsidR="00C16BF8">
        <w:rPr>
          <w:rFonts w:cs="Arial"/>
          <w:szCs w:val="20"/>
        </w:rPr>
        <w:t>.</w:t>
      </w:r>
    </w:p>
    <w:p w:rsidR="00FE7F50" w:rsidRDefault="00FE7F50" w:rsidP="00FE7F5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cs="Arial"/>
          <w:b/>
          <w:sz w:val="24"/>
          <w:szCs w:val="24"/>
        </w:rPr>
      </w:pPr>
    </w:p>
    <w:p w:rsidR="002C1233" w:rsidRPr="002C1233" w:rsidRDefault="00FE7F50" w:rsidP="0017146E">
      <w:pPr>
        <w:pStyle w:val="Nadpis2"/>
        <w:numPr>
          <w:ilvl w:val="1"/>
          <w:numId w:val="10"/>
        </w:numPr>
        <w:ind w:left="426"/>
      </w:pPr>
      <w:r w:rsidRPr="00FE7F50">
        <w:t>Podmínky pro využití dodatečné alokace</w:t>
      </w:r>
      <w:r w:rsidR="009A3D1A">
        <w:t xml:space="preserve"> </w:t>
      </w:r>
      <w:r w:rsidR="00F57625">
        <w:t>React</w:t>
      </w:r>
      <w:r w:rsidR="009A3D1A">
        <w:t>EU</w:t>
      </w:r>
    </w:p>
    <w:p w:rsidR="00C9187F" w:rsidRPr="00DC19E2" w:rsidRDefault="00FE7F50" w:rsidP="00FE7F5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cs="Arial"/>
          <w:szCs w:val="20"/>
        </w:rPr>
      </w:pPr>
      <w:r w:rsidRPr="00DC19E2">
        <w:rPr>
          <w:rFonts w:cs="Arial"/>
          <w:szCs w:val="20"/>
        </w:rPr>
        <w:t xml:space="preserve">České republice bude přidělena dodatečná alokace </w:t>
      </w:r>
      <w:r w:rsidR="00A4170D">
        <w:rPr>
          <w:rFonts w:cs="Arial"/>
          <w:szCs w:val="20"/>
        </w:rPr>
        <w:t xml:space="preserve">k </w:t>
      </w:r>
      <w:r w:rsidRPr="00DC19E2">
        <w:rPr>
          <w:rFonts w:cs="Arial"/>
          <w:szCs w:val="20"/>
        </w:rPr>
        <w:t>ESIF, kterou d</w:t>
      </w:r>
      <w:r w:rsidR="00C9187F" w:rsidRPr="00DC19E2">
        <w:rPr>
          <w:rFonts w:cs="Arial"/>
          <w:szCs w:val="20"/>
        </w:rPr>
        <w:t>le návrhu nařízení k R</w:t>
      </w:r>
      <w:r w:rsidR="00F57625">
        <w:rPr>
          <w:rFonts w:cs="Arial"/>
          <w:szCs w:val="20"/>
        </w:rPr>
        <w:t>eact</w:t>
      </w:r>
      <w:r w:rsidR="00C9187F" w:rsidRPr="00DC19E2">
        <w:rPr>
          <w:rFonts w:cs="Arial"/>
          <w:szCs w:val="20"/>
        </w:rPr>
        <w:t xml:space="preserve">EU bude možné použít </w:t>
      </w:r>
      <w:r w:rsidRPr="00DC19E2">
        <w:rPr>
          <w:rFonts w:cs="Arial"/>
          <w:szCs w:val="20"/>
        </w:rPr>
        <w:t>výlučně na</w:t>
      </w:r>
      <w:r w:rsidR="00C9187F" w:rsidRPr="00DC19E2">
        <w:rPr>
          <w:rFonts w:cs="Arial"/>
          <w:szCs w:val="20"/>
        </w:rPr>
        <w:t>:</w:t>
      </w:r>
    </w:p>
    <w:p w:rsidR="00C9187F" w:rsidRPr="00447AE0" w:rsidRDefault="00C9187F" w:rsidP="0017146E">
      <w:pPr>
        <w:pStyle w:val="Odstavecseseznamem"/>
        <w:numPr>
          <w:ilvl w:val="0"/>
          <w:numId w:val="3"/>
        </w:numPr>
        <w:spacing w:after="160" w:line="259" w:lineRule="auto"/>
        <w:rPr>
          <w:rFonts w:cs="Arial"/>
          <w:b/>
          <w:szCs w:val="20"/>
        </w:rPr>
      </w:pPr>
      <w:r w:rsidRPr="00447AE0">
        <w:rPr>
          <w:rFonts w:cs="Arial"/>
          <w:b/>
          <w:szCs w:val="20"/>
        </w:rPr>
        <w:t xml:space="preserve">operace podporující zotavení z krize v souvislosti s pandemií COVID-19 </w:t>
      </w:r>
      <w:r w:rsidR="00FE7F50" w:rsidRPr="00447AE0">
        <w:rPr>
          <w:rFonts w:cs="Arial"/>
          <w:b/>
          <w:szCs w:val="20"/>
        </w:rPr>
        <w:t>nebo</w:t>
      </w:r>
      <w:r w:rsidRPr="00447AE0">
        <w:rPr>
          <w:rFonts w:cs="Arial"/>
          <w:b/>
          <w:szCs w:val="20"/>
        </w:rPr>
        <w:t xml:space="preserve"> </w:t>
      </w:r>
    </w:p>
    <w:p w:rsidR="00FE7F50" w:rsidRPr="00447AE0" w:rsidRDefault="00C9187F" w:rsidP="0017146E">
      <w:pPr>
        <w:pStyle w:val="Odstavecseseznamem"/>
        <w:numPr>
          <w:ilvl w:val="0"/>
          <w:numId w:val="3"/>
        </w:numPr>
        <w:spacing w:after="160" w:line="259" w:lineRule="auto"/>
        <w:rPr>
          <w:rFonts w:cs="Arial"/>
          <w:b/>
          <w:szCs w:val="20"/>
        </w:rPr>
      </w:pPr>
      <w:r w:rsidRPr="00447AE0">
        <w:rPr>
          <w:rFonts w:cs="Arial"/>
          <w:b/>
          <w:szCs w:val="20"/>
        </w:rPr>
        <w:t>přípravu ekologického, digitálního a odolného oživení hospodářství pomocí investic do operací přispívajících k přechodu n</w:t>
      </w:r>
      <w:r w:rsidR="00FE7F50" w:rsidRPr="00447AE0">
        <w:rPr>
          <w:rFonts w:cs="Arial"/>
          <w:b/>
          <w:szCs w:val="20"/>
        </w:rPr>
        <w:t>a digitální a zelenou ekonomiku</w:t>
      </w:r>
      <w:r w:rsidR="005C66C4">
        <w:rPr>
          <w:rFonts w:cs="Arial"/>
          <w:b/>
          <w:szCs w:val="20"/>
        </w:rPr>
        <w:t>,</w:t>
      </w:r>
    </w:p>
    <w:p w:rsidR="00C65328" w:rsidRPr="00DC19E2" w:rsidRDefault="005C66C4" w:rsidP="0017146E">
      <w:pPr>
        <w:pStyle w:val="Odstavecseseznamem"/>
        <w:numPr>
          <w:ilvl w:val="0"/>
          <w:numId w:val="3"/>
        </w:num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až 4</w:t>
      </w:r>
      <w:r w:rsidR="00C65328">
        <w:rPr>
          <w:rFonts w:cs="Arial"/>
          <w:szCs w:val="20"/>
        </w:rPr>
        <w:t xml:space="preserve"> % prostředků </w:t>
      </w:r>
      <w:r>
        <w:rPr>
          <w:rFonts w:cs="Arial"/>
          <w:szCs w:val="20"/>
        </w:rPr>
        <w:t xml:space="preserve">může </w:t>
      </w:r>
      <w:r w:rsidR="00C65328">
        <w:rPr>
          <w:rFonts w:cs="Arial"/>
          <w:szCs w:val="20"/>
        </w:rPr>
        <w:t>být vyčleněno na technickou pomoc.</w:t>
      </w:r>
    </w:p>
    <w:p w:rsidR="00C9187F" w:rsidRPr="00DC19E2" w:rsidRDefault="00C9187F" w:rsidP="00FE7F50">
      <w:pPr>
        <w:pStyle w:val="Odstavecseseznamem"/>
        <w:spacing w:after="160" w:line="259" w:lineRule="auto"/>
        <w:rPr>
          <w:rFonts w:cs="Arial"/>
          <w:szCs w:val="20"/>
        </w:rPr>
      </w:pPr>
      <w:r w:rsidRPr="00DC19E2">
        <w:rPr>
          <w:rFonts w:cs="Arial"/>
          <w:szCs w:val="20"/>
        </w:rPr>
        <w:t xml:space="preserve"> </w:t>
      </w:r>
    </w:p>
    <w:p w:rsidR="00C9187F" w:rsidRPr="00DC19E2" w:rsidRDefault="00FE7F50" w:rsidP="006252D3">
      <w:pPr>
        <w:spacing w:before="120" w:line="240" w:lineRule="auto"/>
        <w:rPr>
          <w:rFonts w:cs="Arial"/>
          <w:szCs w:val="20"/>
        </w:rPr>
      </w:pPr>
      <w:r w:rsidRPr="00DC19E2">
        <w:rPr>
          <w:rFonts w:cs="Arial"/>
          <w:szCs w:val="20"/>
        </w:rPr>
        <w:t>Zdroje</w:t>
      </w:r>
      <w:r w:rsidR="00C9187F" w:rsidRPr="00DC19E2">
        <w:rPr>
          <w:rFonts w:cs="Arial"/>
          <w:szCs w:val="20"/>
        </w:rPr>
        <w:t xml:space="preserve"> </w:t>
      </w:r>
      <w:r w:rsidR="00D07F09">
        <w:rPr>
          <w:rFonts w:cs="Arial"/>
          <w:b/>
          <w:szCs w:val="20"/>
        </w:rPr>
        <w:t>Evropského fondu pro regionální rozvoj (EF</w:t>
      </w:r>
      <w:r w:rsidR="00C9187F" w:rsidRPr="00DC19E2">
        <w:rPr>
          <w:rFonts w:cs="Arial"/>
          <w:b/>
          <w:szCs w:val="20"/>
        </w:rPr>
        <w:t>RR</w:t>
      </w:r>
      <w:r w:rsidR="00D07F09">
        <w:rPr>
          <w:rFonts w:cs="Arial"/>
          <w:b/>
          <w:szCs w:val="20"/>
        </w:rPr>
        <w:t>)</w:t>
      </w:r>
      <w:r w:rsidR="00C9187F" w:rsidRPr="00DC19E2">
        <w:rPr>
          <w:rFonts w:cs="Arial"/>
          <w:b/>
          <w:szCs w:val="20"/>
        </w:rPr>
        <w:t xml:space="preserve"> </w:t>
      </w:r>
      <w:r w:rsidR="00C9187F" w:rsidRPr="00DC19E2">
        <w:rPr>
          <w:rFonts w:cs="Arial"/>
          <w:szCs w:val="20"/>
        </w:rPr>
        <w:t xml:space="preserve">se mají využít především na podporu investic do výrobků a služeb ve zdravotnictví, na infrastrukturu poskytující občanům základní služby, na podporu ve formě provozního kapitálu nebo investiční podpory pro malé a střední podniky (MSP), včetně provozních a personálních nákladů a opatření v oblasti zdraví a bezpečnosti. </w:t>
      </w:r>
    </w:p>
    <w:p w:rsidR="00C9187F" w:rsidRPr="00DC19E2" w:rsidRDefault="00FE7F50" w:rsidP="006252D3">
      <w:pPr>
        <w:spacing w:before="120" w:line="240" w:lineRule="auto"/>
        <w:rPr>
          <w:rFonts w:cs="Arial"/>
          <w:szCs w:val="20"/>
        </w:rPr>
      </w:pPr>
      <w:r w:rsidRPr="00DC19E2">
        <w:rPr>
          <w:rFonts w:cs="Arial"/>
          <w:szCs w:val="20"/>
        </w:rPr>
        <w:t>Zdroje</w:t>
      </w:r>
      <w:r w:rsidR="00C9187F" w:rsidRPr="00DC19E2">
        <w:rPr>
          <w:rFonts w:cs="Arial"/>
          <w:szCs w:val="20"/>
        </w:rPr>
        <w:t xml:space="preserve"> </w:t>
      </w:r>
      <w:r w:rsidR="00C9187F" w:rsidRPr="00DC19E2">
        <w:rPr>
          <w:rFonts w:cs="Arial"/>
          <w:b/>
          <w:szCs w:val="20"/>
        </w:rPr>
        <w:t>E</w:t>
      </w:r>
      <w:r w:rsidR="00D07F09">
        <w:rPr>
          <w:rFonts w:cs="Arial"/>
          <w:b/>
          <w:szCs w:val="20"/>
        </w:rPr>
        <w:t>vropského sociálního fundu (E</w:t>
      </w:r>
      <w:r w:rsidR="00C9187F" w:rsidRPr="00DC19E2">
        <w:rPr>
          <w:rFonts w:cs="Arial"/>
          <w:b/>
          <w:szCs w:val="20"/>
        </w:rPr>
        <w:t>SF</w:t>
      </w:r>
      <w:r w:rsidR="00D07F09">
        <w:rPr>
          <w:rFonts w:cs="Arial"/>
          <w:b/>
          <w:szCs w:val="20"/>
        </w:rPr>
        <w:t>)</w:t>
      </w:r>
      <w:r w:rsidR="00C9187F" w:rsidRPr="00DC19E2">
        <w:rPr>
          <w:rFonts w:cs="Arial"/>
          <w:szCs w:val="20"/>
        </w:rPr>
        <w:t xml:space="preserve"> se mají využít především na podporu zachování pracovních míst, vzdělávání a odbornou přípravu, podporu opatření pro zaměstnanost mladých lidí, rozvoj dovedností a zlepšení přístupu k sociálním službám obecného zájmu, a to i pro děti. </w:t>
      </w:r>
    </w:p>
    <w:p w:rsidR="00C65328" w:rsidRDefault="00C65328" w:rsidP="006252D3">
      <w:pPr>
        <w:spacing w:before="120" w:line="240" w:lineRule="auto"/>
        <w:rPr>
          <w:rFonts w:cs="Arial"/>
          <w:szCs w:val="20"/>
        </w:rPr>
      </w:pPr>
      <w:r w:rsidRPr="00012331">
        <w:rPr>
          <w:rFonts w:cs="Arial"/>
          <w:b/>
          <w:szCs w:val="20"/>
        </w:rPr>
        <w:t>Využití dodatečné alokace musí být řádně odůvodněno a je třeba uvést očekávaný dopad na podporu zotavení z krize COVID-19 nebo přípravu ekologického, digitálního a odolného oživení hospodářství. Dle návrhu nařízení je možné vytvořit i nové aktivity na danou oblast nad rámec stávajících programových dokumentů</w:t>
      </w:r>
      <w:r w:rsidR="00F80AFB" w:rsidRPr="00012331">
        <w:rPr>
          <w:rFonts w:cs="Arial"/>
          <w:b/>
          <w:szCs w:val="20"/>
        </w:rPr>
        <w:t xml:space="preserve"> a pro prostředky bude vytvořena samostatná prioritní osa </w:t>
      </w:r>
      <w:r w:rsidR="00C16BF8">
        <w:rPr>
          <w:rFonts w:cs="Arial"/>
          <w:b/>
          <w:szCs w:val="20"/>
        </w:rPr>
        <w:t xml:space="preserve">nebo osy </w:t>
      </w:r>
      <w:r w:rsidR="00F80AFB" w:rsidRPr="00012331">
        <w:rPr>
          <w:rFonts w:cs="Arial"/>
          <w:b/>
          <w:szCs w:val="20"/>
        </w:rPr>
        <w:t>(případně samostatný program</w:t>
      </w:r>
      <w:r w:rsidR="00C16BF8">
        <w:rPr>
          <w:rFonts w:cs="Arial"/>
          <w:b/>
          <w:szCs w:val="20"/>
        </w:rPr>
        <w:t xml:space="preserve"> nebo programy</w:t>
      </w:r>
      <w:r w:rsidR="00F80AFB" w:rsidRPr="00012331">
        <w:rPr>
          <w:rFonts w:cs="Arial"/>
          <w:b/>
          <w:szCs w:val="20"/>
        </w:rPr>
        <w:t>)</w:t>
      </w:r>
      <w:r w:rsidRPr="00012331">
        <w:rPr>
          <w:rFonts w:cs="Arial"/>
          <w:b/>
          <w:szCs w:val="20"/>
        </w:rPr>
        <w:t xml:space="preserve">. Dodatečná alokace musí být vyčerpána </w:t>
      </w:r>
      <w:r w:rsidR="00C16BF8">
        <w:rPr>
          <w:rFonts w:cs="Arial"/>
          <w:b/>
          <w:szCs w:val="20"/>
        </w:rPr>
        <w:t xml:space="preserve">v souladu s pravidly pro </w:t>
      </w:r>
      <w:r w:rsidR="00FE0D53">
        <w:rPr>
          <w:rFonts w:cs="Arial"/>
          <w:b/>
          <w:szCs w:val="20"/>
        </w:rPr>
        <w:t>využití prostředků EU příští generace a nařízení ReactEU</w:t>
      </w:r>
      <w:r>
        <w:rPr>
          <w:rStyle w:val="Znakapoznpodarou"/>
          <w:rFonts w:cs="Arial"/>
          <w:szCs w:val="20"/>
        </w:rPr>
        <w:footnoteReference w:id="3"/>
      </w:r>
      <w:r>
        <w:rPr>
          <w:rFonts w:cs="Arial"/>
          <w:szCs w:val="20"/>
        </w:rPr>
        <w:t>.</w:t>
      </w:r>
    </w:p>
    <w:p w:rsidR="00F80AFB" w:rsidRDefault="00F80AFB" w:rsidP="006252D3">
      <w:pPr>
        <w:spacing w:before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 návrhu nařízení je uvedena možnost využít 100% míru </w:t>
      </w:r>
      <w:r w:rsidR="00FE0D53">
        <w:rPr>
          <w:rFonts w:cs="Arial"/>
          <w:szCs w:val="20"/>
        </w:rPr>
        <w:t>spolu</w:t>
      </w:r>
      <w:r>
        <w:rPr>
          <w:rFonts w:cs="Arial"/>
          <w:szCs w:val="20"/>
        </w:rPr>
        <w:t xml:space="preserve">financování EU na projekty realizované z dodatečných prostředků </w:t>
      </w:r>
      <w:r w:rsidR="00F57625">
        <w:rPr>
          <w:rFonts w:cs="Arial"/>
          <w:szCs w:val="20"/>
        </w:rPr>
        <w:t>React</w:t>
      </w:r>
      <w:r>
        <w:rPr>
          <w:rFonts w:cs="Arial"/>
          <w:szCs w:val="20"/>
        </w:rPr>
        <w:t>EU a projekty budou moci být realizovány na celém území ČR (tj. bez ohledu na kategorii regionů).</w:t>
      </w:r>
    </w:p>
    <w:p w:rsidR="00F80AFB" w:rsidRDefault="00F80AFB" w:rsidP="00C9187F">
      <w:pPr>
        <w:rPr>
          <w:rFonts w:cs="Arial"/>
          <w:szCs w:val="20"/>
        </w:rPr>
      </w:pPr>
    </w:p>
    <w:p w:rsidR="00FE7F50" w:rsidRPr="00542546" w:rsidRDefault="00542546" w:rsidP="0017146E">
      <w:pPr>
        <w:pStyle w:val="Nadpis2"/>
        <w:numPr>
          <w:ilvl w:val="1"/>
          <w:numId w:val="10"/>
        </w:numPr>
        <w:ind w:left="426"/>
      </w:pPr>
      <w:r w:rsidRPr="00542546">
        <w:t>Návrh využití dodatečn</w:t>
      </w:r>
      <w:r w:rsidR="009E74B2">
        <w:t>é</w:t>
      </w:r>
      <w:r w:rsidRPr="00542546">
        <w:t xml:space="preserve"> </w:t>
      </w:r>
      <w:r w:rsidRPr="009E2E81">
        <w:t xml:space="preserve">alokace </w:t>
      </w:r>
      <w:r w:rsidR="009E2E81" w:rsidRPr="009E2E81">
        <w:t>dle</w:t>
      </w:r>
      <w:r w:rsidRPr="009E2E81">
        <w:t> </w:t>
      </w:r>
      <w:r w:rsidR="00F57625">
        <w:t>React</w:t>
      </w:r>
      <w:r w:rsidRPr="00542546">
        <w:t>EU v</w:t>
      </w:r>
      <w:r w:rsidR="00EE767F">
        <w:t> </w:t>
      </w:r>
      <w:r w:rsidRPr="00542546">
        <w:t>Č</w:t>
      </w:r>
      <w:r w:rsidR="00FE0D53">
        <w:t>R</w:t>
      </w:r>
    </w:p>
    <w:p w:rsidR="00C6395F" w:rsidRDefault="00C9187F" w:rsidP="006252D3">
      <w:pPr>
        <w:spacing w:before="120" w:line="240" w:lineRule="auto"/>
        <w:rPr>
          <w:rFonts w:cs="Arial"/>
          <w:szCs w:val="20"/>
        </w:rPr>
      </w:pPr>
      <w:r w:rsidRPr="00DC19E2">
        <w:rPr>
          <w:rFonts w:cs="Arial"/>
          <w:szCs w:val="20"/>
        </w:rPr>
        <w:t xml:space="preserve">V souladu s návrhem </w:t>
      </w:r>
      <w:r w:rsidR="00FE7F50" w:rsidRPr="00DC19E2">
        <w:rPr>
          <w:rFonts w:cs="Arial"/>
          <w:szCs w:val="20"/>
        </w:rPr>
        <w:t>EK</w:t>
      </w:r>
      <w:r w:rsidRPr="00DC19E2">
        <w:rPr>
          <w:rFonts w:cs="Arial"/>
          <w:szCs w:val="20"/>
        </w:rPr>
        <w:t xml:space="preserve"> k využití dodatečné alokace bylo v Č</w:t>
      </w:r>
      <w:r w:rsidR="00FE0D53">
        <w:rPr>
          <w:rFonts w:cs="Arial"/>
          <w:szCs w:val="20"/>
        </w:rPr>
        <w:t>R</w:t>
      </w:r>
      <w:r w:rsidRPr="00DC19E2">
        <w:rPr>
          <w:rFonts w:cs="Arial"/>
          <w:szCs w:val="20"/>
        </w:rPr>
        <w:t xml:space="preserve"> identifikováno několik priorit</w:t>
      </w:r>
      <w:r w:rsidR="00FE0D53">
        <w:rPr>
          <w:rFonts w:cs="Arial"/>
          <w:szCs w:val="20"/>
        </w:rPr>
        <w:t>ních oblastí</w:t>
      </w:r>
      <w:r w:rsidRPr="00DC19E2">
        <w:rPr>
          <w:rFonts w:cs="Arial"/>
          <w:szCs w:val="20"/>
        </w:rPr>
        <w:t>, které byly zasaženy pandemií COVID-19 a splňují požadavky</w:t>
      </w:r>
      <w:r w:rsidR="00542546" w:rsidRPr="00DC19E2">
        <w:rPr>
          <w:rFonts w:cs="Arial"/>
          <w:szCs w:val="20"/>
        </w:rPr>
        <w:t xml:space="preserve"> </w:t>
      </w:r>
      <w:r w:rsidR="00FE0D53">
        <w:rPr>
          <w:rFonts w:cs="Arial"/>
          <w:szCs w:val="20"/>
        </w:rPr>
        <w:t>návrhu</w:t>
      </w:r>
      <w:r w:rsidR="00FE0D53" w:rsidRPr="00DC19E2">
        <w:rPr>
          <w:rFonts w:cs="Arial"/>
          <w:szCs w:val="20"/>
        </w:rPr>
        <w:t xml:space="preserve"> </w:t>
      </w:r>
      <w:r w:rsidR="00542546" w:rsidRPr="00DC19E2">
        <w:rPr>
          <w:rFonts w:cs="Arial"/>
          <w:szCs w:val="20"/>
        </w:rPr>
        <w:t>nařízení</w:t>
      </w:r>
      <w:r w:rsidRPr="00DC19E2">
        <w:rPr>
          <w:rFonts w:cs="Arial"/>
          <w:szCs w:val="20"/>
        </w:rPr>
        <w:t xml:space="preserve">. </w:t>
      </w:r>
      <w:r w:rsidR="00542546" w:rsidRPr="00DC19E2">
        <w:rPr>
          <w:rFonts w:cs="Arial"/>
          <w:szCs w:val="20"/>
        </w:rPr>
        <w:t>J</w:t>
      </w:r>
      <w:r w:rsidRPr="00DC19E2">
        <w:rPr>
          <w:rFonts w:cs="Arial"/>
          <w:szCs w:val="20"/>
        </w:rPr>
        <w:t xml:space="preserve">edná </w:t>
      </w:r>
      <w:r w:rsidR="00542546" w:rsidRPr="00DC19E2">
        <w:rPr>
          <w:rFonts w:cs="Arial"/>
          <w:szCs w:val="20"/>
        </w:rPr>
        <w:t xml:space="preserve">se </w:t>
      </w:r>
      <w:r w:rsidR="00B75F8B">
        <w:rPr>
          <w:rFonts w:cs="Arial"/>
          <w:szCs w:val="20"/>
        </w:rPr>
        <w:br/>
      </w:r>
      <w:r w:rsidR="00416B29">
        <w:rPr>
          <w:rFonts w:cs="Arial"/>
          <w:szCs w:val="20"/>
        </w:rPr>
        <w:t xml:space="preserve">o aktivity, </w:t>
      </w:r>
      <w:r w:rsidRPr="00DC19E2">
        <w:rPr>
          <w:rFonts w:cs="Arial"/>
          <w:szCs w:val="20"/>
        </w:rPr>
        <w:t xml:space="preserve">na které již nezbývají volné finanční prostředky ve stávajících </w:t>
      </w:r>
      <w:r w:rsidR="00416B29">
        <w:rPr>
          <w:rFonts w:cs="Arial"/>
          <w:szCs w:val="20"/>
        </w:rPr>
        <w:t xml:space="preserve">operačních </w:t>
      </w:r>
      <w:r w:rsidRPr="00DC19E2">
        <w:rPr>
          <w:rFonts w:cs="Arial"/>
          <w:szCs w:val="20"/>
        </w:rPr>
        <w:t xml:space="preserve">programech, </w:t>
      </w:r>
      <w:r w:rsidR="004D47C5">
        <w:rPr>
          <w:rFonts w:cs="Arial"/>
          <w:szCs w:val="20"/>
        </w:rPr>
        <w:t>existuje urgentní potřeba jejich financování v souvislosti s COVID-19</w:t>
      </w:r>
      <w:r w:rsidR="00FD3336">
        <w:rPr>
          <w:rFonts w:cs="Arial"/>
          <w:szCs w:val="20"/>
        </w:rPr>
        <w:t xml:space="preserve"> a rovněž </w:t>
      </w:r>
      <w:r w:rsidR="00FE0D53">
        <w:rPr>
          <w:rFonts w:cs="Arial"/>
          <w:szCs w:val="20"/>
        </w:rPr>
        <w:t xml:space="preserve">existuje potřeba </w:t>
      </w:r>
      <w:r w:rsidR="00FD3336">
        <w:rPr>
          <w:rFonts w:cs="Arial"/>
          <w:szCs w:val="20"/>
        </w:rPr>
        <w:t>je zodolnit, dovybavit a vylepšit pro případ dalších vln pandemie či dalších obdobných krizových situací. S</w:t>
      </w:r>
      <w:r w:rsidR="00542546" w:rsidRPr="00DC19E2">
        <w:rPr>
          <w:rFonts w:cs="Arial"/>
          <w:szCs w:val="20"/>
        </w:rPr>
        <w:t>oučasně</w:t>
      </w:r>
      <w:r w:rsidRPr="00DC19E2">
        <w:rPr>
          <w:rFonts w:cs="Arial"/>
          <w:szCs w:val="20"/>
        </w:rPr>
        <w:t xml:space="preserve"> je v těchto oblastec</w:t>
      </w:r>
      <w:r w:rsidR="00416B29">
        <w:rPr>
          <w:rFonts w:cs="Arial"/>
          <w:szCs w:val="20"/>
        </w:rPr>
        <w:t>h dostatečná absorpční kapaci</w:t>
      </w:r>
      <w:r w:rsidR="004D47C5">
        <w:rPr>
          <w:rFonts w:cs="Arial"/>
          <w:szCs w:val="20"/>
        </w:rPr>
        <w:t>ta, připravenost projektů a administrativní kapacita na straně řídicího orgánu</w:t>
      </w:r>
      <w:r w:rsidR="004D11D6">
        <w:rPr>
          <w:rFonts w:cs="Arial"/>
          <w:szCs w:val="20"/>
        </w:rPr>
        <w:t xml:space="preserve"> (ŘO)</w:t>
      </w:r>
      <w:r w:rsidR="004D47C5">
        <w:rPr>
          <w:rFonts w:cs="Arial"/>
          <w:szCs w:val="20"/>
        </w:rPr>
        <w:t>.</w:t>
      </w:r>
    </w:p>
    <w:p w:rsidR="00FD3336" w:rsidRDefault="00412570" w:rsidP="00FD3336">
      <w:pPr>
        <w:spacing w:before="120" w:line="240" w:lineRule="auto"/>
        <w:textAlignment w:val="center"/>
        <w:rPr>
          <w:rFonts w:cs="Arial"/>
        </w:rPr>
      </w:pPr>
      <w:r w:rsidRPr="00CE193F">
        <w:rPr>
          <w:rFonts w:cs="Arial"/>
          <w:szCs w:val="20"/>
        </w:rPr>
        <w:t>Pro rozhodnut</w:t>
      </w:r>
      <w:r w:rsidR="004D47C5" w:rsidRPr="00CE193F">
        <w:rPr>
          <w:rFonts w:cs="Arial"/>
          <w:szCs w:val="20"/>
        </w:rPr>
        <w:t xml:space="preserve">í, jak nejlépe využít prostředky </w:t>
      </w:r>
      <w:r w:rsidR="00F57625">
        <w:rPr>
          <w:rFonts w:cs="Arial"/>
          <w:szCs w:val="20"/>
        </w:rPr>
        <w:t>React</w:t>
      </w:r>
      <w:r w:rsidR="004D47C5" w:rsidRPr="00CE193F">
        <w:rPr>
          <w:rFonts w:cs="Arial"/>
          <w:szCs w:val="20"/>
        </w:rPr>
        <w:t>EU bylo zohledněno doporučení EK, aby byly prostředky směřovány ideálně do jednoho</w:t>
      </w:r>
      <w:r w:rsidR="004D11D6" w:rsidRPr="00CE193F">
        <w:rPr>
          <w:rFonts w:cs="Arial"/>
          <w:szCs w:val="20"/>
        </w:rPr>
        <w:t xml:space="preserve"> operačního programu</w:t>
      </w:r>
      <w:r w:rsidR="004D47C5" w:rsidRPr="00CE193F">
        <w:rPr>
          <w:rFonts w:cs="Arial"/>
          <w:szCs w:val="20"/>
        </w:rPr>
        <w:t xml:space="preserve"> </w:t>
      </w:r>
      <w:r w:rsidR="004D11D6" w:rsidRPr="00CE193F">
        <w:rPr>
          <w:rFonts w:cs="Arial"/>
          <w:szCs w:val="20"/>
        </w:rPr>
        <w:t>(</w:t>
      </w:r>
      <w:r w:rsidR="004D47C5" w:rsidRPr="00CE193F">
        <w:rPr>
          <w:rFonts w:cs="Arial"/>
          <w:szCs w:val="20"/>
        </w:rPr>
        <w:t>OP</w:t>
      </w:r>
      <w:r w:rsidR="004D11D6" w:rsidRPr="00CE193F">
        <w:rPr>
          <w:rFonts w:cs="Arial"/>
          <w:szCs w:val="20"/>
        </w:rPr>
        <w:t>)</w:t>
      </w:r>
      <w:r w:rsidR="004D47C5" w:rsidRPr="00CE193F">
        <w:rPr>
          <w:rFonts w:cs="Arial"/>
          <w:szCs w:val="20"/>
        </w:rPr>
        <w:t>.</w:t>
      </w:r>
      <w:r w:rsidR="004D47C5" w:rsidRPr="00AB715F">
        <w:rPr>
          <w:rFonts w:cs="Arial"/>
          <w:szCs w:val="20"/>
        </w:rPr>
        <w:t xml:space="preserve"> Z vyjádření rezortů k možnostem využití prostředků </w:t>
      </w:r>
      <w:r w:rsidR="007649E2">
        <w:rPr>
          <w:rFonts w:cs="Arial"/>
          <w:szCs w:val="20"/>
        </w:rPr>
        <w:t>React</w:t>
      </w:r>
      <w:r w:rsidR="004D47C5" w:rsidRPr="00AB715F">
        <w:rPr>
          <w:rFonts w:cs="Arial"/>
          <w:szCs w:val="20"/>
        </w:rPr>
        <w:t>EU, které MMR-NOK obdržel</w:t>
      </w:r>
      <w:r w:rsidR="004D47C5" w:rsidRPr="00AB715F">
        <w:rPr>
          <w:rStyle w:val="Znakapoznpodarou"/>
          <w:rFonts w:cs="Arial"/>
          <w:szCs w:val="20"/>
        </w:rPr>
        <w:footnoteReference w:id="4"/>
      </w:r>
      <w:r w:rsidR="004D47C5" w:rsidRPr="00AB715F">
        <w:rPr>
          <w:rFonts w:cs="Arial"/>
          <w:szCs w:val="20"/>
        </w:rPr>
        <w:t xml:space="preserve">, </w:t>
      </w:r>
      <w:r w:rsidRPr="00AB715F">
        <w:rPr>
          <w:rFonts w:cs="Arial"/>
          <w:szCs w:val="20"/>
        </w:rPr>
        <w:t xml:space="preserve">byly </w:t>
      </w:r>
      <w:r w:rsidR="004D47C5" w:rsidRPr="00AB715F">
        <w:rPr>
          <w:rFonts w:cs="Arial"/>
          <w:szCs w:val="20"/>
        </w:rPr>
        <w:t>vybr</w:t>
      </w:r>
      <w:r w:rsidRPr="00AB715F">
        <w:rPr>
          <w:rFonts w:cs="Arial"/>
          <w:szCs w:val="20"/>
        </w:rPr>
        <w:t>ány</w:t>
      </w:r>
      <w:r w:rsidR="004D47C5" w:rsidRPr="00AB715F">
        <w:rPr>
          <w:rFonts w:cs="Arial"/>
          <w:szCs w:val="20"/>
        </w:rPr>
        <w:t xml:space="preserve"> urgentní priorit</w:t>
      </w:r>
      <w:r w:rsidR="00614DE6">
        <w:rPr>
          <w:rFonts w:cs="Arial"/>
          <w:szCs w:val="20"/>
        </w:rPr>
        <w:t>ní</w:t>
      </w:r>
      <w:r w:rsidR="004D47C5" w:rsidRPr="00AB715F">
        <w:rPr>
          <w:rFonts w:cs="Arial"/>
          <w:szCs w:val="20"/>
        </w:rPr>
        <w:t xml:space="preserve"> </w:t>
      </w:r>
      <w:r w:rsidR="00614DE6">
        <w:rPr>
          <w:rFonts w:cs="Arial"/>
          <w:szCs w:val="20"/>
        </w:rPr>
        <w:t xml:space="preserve">oblasti </w:t>
      </w:r>
      <w:r w:rsidR="004D47C5" w:rsidRPr="00AB715F">
        <w:rPr>
          <w:rFonts w:cs="Arial"/>
          <w:szCs w:val="20"/>
        </w:rPr>
        <w:t xml:space="preserve">s ohledem na výše uvedená kritéria. </w:t>
      </w:r>
      <w:r w:rsidR="004D47C5" w:rsidRPr="00AB715F">
        <w:rPr>
          <w:rFonts w:cs="Arial"/>
          <w:b/>
          <w:szCs w:val="20"/>
        </w:rPr>
        <w:t>Tyto priorit</w:t>
      </w:r>
      <w:r w:rsidR="00614DE6">
        <w:rPr>
          <w:rFonts w:cs="Arial"/>
          <w:b/>
          <w:szCs w:val="20"/>
        </w:rPr>
        <w:t>ní</w:t>
      </w:r>
      <w:r w:rsidR="004D47C5" w:rsidRPr="00AB715F">
        <w:rPr>
          <w:rFonts w:cs="Arial"/>
          <w:b/>
          <w:szCs w:val="20"/>
        </w:rPr>
        <w:t xml:space="preserve"> </w:t>
      </w:r>
      <w:r w:rsidR="00614DE6">
        <w:rPr>
          <w:rFonts w:cs="Arial"/>
          <w:b/>
          <w:szCs w:val="20"/>
        </w:rPr>
        <w:t xml:space="preserve">oblasti </w:t>
      </w:r>
      <w:r w:rsidR="004D47C5" w:rsidRPr="00AB715F">
        <w:rPr>
          <w:rFonts w:cs="Arial"/>
          <w:b/>
          <w:szCs w:val="20"/>
        </w:rPr>
        <w:t xml:space="preserve">zahrnují </w:t>
      </w:r>
      <w:r w:rsidR="00330288" w:rsidRPr="00AB715F">
        <w:rPr>
          <w:rFonts w:cs="Arial"/>
          <w:b/>
          <w:szCs w:val="20"/>
        </w:rPr>
        <w:t>zdravotnictví, integrovaný záchranný systém a kybernetickou bezpečnost.</w:t>
      </w:r>
      <w:r w:rsidR="00012331" w:rsidRPr="00AB715F">
        <w:rPr>
          <w:rFonts w:cs="Arial"/>
          <w:b/>
          <w:szCs w:val="20"/>
        </w:rPr>
        <w:t xml:space="preserve"> Tyto oblasti jsou ve stávajícím programovém období financované z programu IROP</w:t>
      </w:r>
      <w:r w:rsidR="007E10F3" w:rsidRPr="00AB715F">
        <w:rPr>
          <w:rFonts w:cs="Arial"/>
          <w:b/>
          <w:szCs w:val="20"/>
        </w:rPr>
        <w:t xml:space="preserve"> a existuje v nich dostatečná absorpční kapacita</w:t>
      </w:r>
      <w:r w:rsidR="00012331" w:rsidRPr="00AB715F">
        <w:rPr>
          <w:rFonts w:cs="Arial"/>
          <w:b/>
          <w:szCs w:val="20"/>
        </w:rPr>
        <w:t xml:space="preserve">, proto MMR-NOK navrhuje, aby tomuto programu byla </w:t>
      </w:r>
      <w:r w:rsidR="00FE0D53" w:rsidRPr="00012331">
        <w:rPr>
          <w:rFonts w:cs="Arial"/>
          <w:b/>
          <w:szCs w:val="20"/>
        </w:rPr>
        <w:t>přidělena</w:t>
      </w:r>
      <w:r w:rsidR="00FE0D53" w:rsidRPr="00AB715F">
        <w:rPr>
          <w:rFonts w:cs="Arial"/>
          <w:b/>
          <w:szCs w:val="20"/>
        </w:rPr>
        <w:t xml:space="preserve"> </w:t>
      </w:r>
      <w:r w:rsidR="00FE0D53">
        <w:rPr>
          <w:rFonts w:cs="Arial"/>
          <w:b/>
          <w:szCs w:val="20"/>
        </w:rPr>
        <w:t xml:space="preserve">veškerá </w:t>
      </w:r>
      <w:r w:rsidR="00012331" w:rsidRPr="00AB715F">
        <w:rPr>
          <w:rFonts w:cs="Arial"/>
          <w:b/>
          <w:szCs w:val="20"/>
        </w:rPr>
        <w:t>dodatečná</w:t>
      </w:r>
      <w:r w:rsidR="00012331" w:rsidRPr="00012331">
        <w:rPr>
          <w:rFonts w:cs="Arial"/>
          <w:b/>
          <w:szCs w:val="20"/>
        </w:rPr>
        <w:t xml:space="preserve"> alokace.</w:t>
      </w:r>
      <w:r w:rsidR="00FD3336">
        <w:rPr>
          <w:rFonts w:cs="Arial"/>
          <w:b/>
          <w:szCs w:val="20"/>
        </w:rPr>
        <w:t xml:space="preserve"> </w:t>
      </w:r>
      <w:r w:rsidR="00FD3336" w:rsidRPr="00FD3336">
        <w:rPr>
          <w:rFonts w:cs="Arial"/>
          <w:b/>
        </w:rPr>
        <w:t>Výhodou přidělení prostředků IROP je již nastavený rámec podpory těchto témat, kdy v minulých letech byly vyhlášeny obdobné výzvy pro jednotlivé aktivity. Zároveň je pro administraci projektů připravena kapacita na straně Řídicího orgánu IROP (MMR ČR) a zprostředkujícího subjektu Centra pro regionální rozvoj ČR.</w:t>
      </w:r>
      <w:r w:rsidR="00FD3336">
        <w:rPr>
          <w:rFonts w:cs="Arial"/>
        </w:rPr>
        <w:t xml:space="preserve"> </w:t>
      </w:r>
    </w:p>
    <w:p w:rsidR="00412570" w:rsidRDefault="00412570" w:rsidP="006252D3">
      <w:pPr>
        <w:spacing w:before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Požadavky rezortu MPSV byly reflektovány v navržené realokaci do </w:t>
      </w:r>
      <w:r w:rsidR="00B1794C">
        <w:rPr>
          <w:rFonts w:cs="Arial"/>
          <w:szCs w:val="20"/>
        </w:rPr>
        <w:t>operačního programu Zaměstnanost (</w:t>
      </w:r>
      <w:r>
        <w:rPr>
          <w:rFonts w:cs="Arial"/>
          <w:szCs w:val="20"/>
        </w:rPr>
        <w:t>OP</w:t>
      </w:r>
      <w:r w:rsidR="00015C2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B1794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(</w:t>
      </w:r>
      <w:r w:rsidRPr="00933EC0">
        <w:rPr>
          <w:rFonts w:cs="Arial"/>
          <w:szCs w:val="20"/>
        </w:rPr>
        <w:t>viz kapitola</w:t>
      </w:r>
      <w:r w:rsidR="00933EC0" w:rsidRPr="00933EC0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 xml:space="preserve"> materiálu). </w:t>
      </w:r>
    </w:p>
    <w:p w:rsidR="00330288" w:rsidRDefault="00330288" w:rsidP="006252D3">
      <w:pPr>
        <w:spacing w:before="120" w:line="240" w:lineRule="auto"/>
        <w:rPr>
          <w:rFonts w:cs="Arial"/>
          <w:szCs w:val="20"/>
        </w:rPr>
      </w:pPr>
    </w:p>
    <w:p w:rsidR="00FD3336" w:rsidRPr="00FD3336" w:rsidRDefault="00330288" w:rsidP="00FD3336">
      <w:pPr>
        <w:pStyle w:val="Nadpis3"/>
        <w:numPr>
          <w:ilvl w:val="2"/>
          <w:numId w:val="10"/>
        </w:numPr>
      </w:pPr>
      <w:r>
        <w:t>Využití dodatečné alokace v rámci IROP</w:t>
      </w:r>
    </w:p>
    <w:p w:rsidR="00FD3336" w:rsidRDefault="00012331" w:rsidP="00FD3336">
      <w:pPr>
        <w:spacing w:before="120" w:line="240" w:lineRule="auto"/>
      </w:pPr>
      <w:r w:rsidRPr="00330288">
        <w:t xml:space="preserve">Prostředky budou </w:t>
      </w:r>
      <w:r>
        <w:t xml:space="preserve">v IROP </w:t>
      </w:r>
      <w:r w:rsidRPr="00330288">
        <w:t>alokovány v nově vytvoře</w:t>
      </w:r>
      <w:r>
        <w:t>né samostatné prioritní ose, v souladu s požadavky</w:t>
      </w:r>
      <w:r w:rsidRPr="00330288">
        <w:t xml:space="preserve"> </w:t>
      </w:r>
      <w:r w:rsidR="00393FF3">
        <w:t xml:space="preserve">návrhu </w:t>
      </w:r>
      <w:r w:rsidRPr="00330288">
        <w:t xml:space="preserve">nařízení </w:t>
      </w:r>
      <w:r w:rsidR="00F57625">
        <w:t>React</w:t>
      </w:r>
      <w:r w:rsidRPr="00330288">
        <w:t xml:space="preserve">EU. </w:t>
      </w:r>
    </w:p>
    <w:p w:rsidR="00FD3336" w:rsidRDefault="00FD3336" w:rsidP="00FD3336">
      <w:pPr>
        <w:spacing w:before="120" w:line="240" w:lineRule="auto"/>
        <w:textAlignment w:val="center"/>
        <w:rPr>
          <w:rFonts w:cs="Arial"/>
        </w:rPr>
      </w:pPr>
      <w:r w:rsidRPr="00B705A5">
        <w:rPr>
          <w:rFonts w:cs="Arial"/>
        </w:rPr>
        <w:t xml:space="preserve">Cílem </w:t>
      </w:r>
      <w:r>
        <w:rPr>
          <w:rFonts w:cs="Arial"/>
        </w:rPr>
        <w:t>souboru navrhovaných aktivit, podporovaných z nové prioritní osy v </w:t>
      </w:r>
      <w:r w:rsidR="00393FF3" w:rsidDel="00393FF3">
        <w:rPr>
          <w:rFonts w:cs="Arial"/>
        </w:rPr>
        <w:t xml:space="preserve"> </w:t>
      </w:r>
      <w:r>
        <w:rPr>
          <w:rFonts w:cs="Arial"/>
        </w:rPr>
        <w:t xml:space="preserve">IROP, </w:t>
      </w:r>
      <w:r w:rsidRPr="00B705A5">
        <w:rPr>
          <w:rFonts w:cs="Arial"/>
        </w:rPr>
        <w:t xml:space="preserve">je zlepšit </w:t>
      </w:r>
      <w:r>
        <w:rPr>
          <w:rFonts w:cs="Arial"/>
        </w:rPr>
        <w:t>technologické a materiální vybavení a zodolnění</w:t>
      </w:r>
      <w:r w:rsidRPr="00B705A5">
        <w:rPr>
          <w:rFonts w:cs="Arial"/>
        </w:rPr>
        <w:t xml:space="preserve"> zázemí </w:t>
      </w:r>
      <w:r>
        <w:rPr>
          <w:rFonts w:cs="Arial"/>
        </w:rPr>
        <w:t>zejména v</w:t>
      </w:r>
      <w:r w:rsidRPr="00B705A5">
        <w:rPr>
          <w:rFonts w:cs="Arial"/>
        </w:rPr>
        <w:t xml:space="preserve"> </w:t>
      </w:r>
      <w:r>
        <w:rPr>
          <w:rFonts w:cs="Arial"/>
        </w:rPr>
        <w:t>oblast</w:t>
      </w:r>
      <w:r w:rsidR="00393FF3">
        <w:rPr>
          <w:rFonts w:cs="Arial"/>
        </w:rPr>
        <w:t>ech</w:t>
      </w:r>
      <w:r>
        <w:rPr>
          <w:rFonts w:cs="Arial"/>
        </w:rPr>
        <w:t xml:space="preserve"> zdravotnictví, sociální infrastruktury a integrovaného záchranného systému. Zároveň je cílem </w:t>
      </w:r>
      <w:r w:rsidR="00F57625">
        <w:rPr>
          <w:rFonts w:cs="Arial"/>
        </w:rPr>
        <w:t>React</w:t>
      </w:r>
      <w:r>
        <w:rPr>
          <w:rFonts w:cs="Arial"/>
        </w:rPr>
        <w:t xml:space="preserve">EU v ČR zabezpečit a zodolnit informační a komunikační infrastrukturu všech aktérů v krizovém řízení a při výkonu veřejné správy (kybernetická bezpečnost), aby nenastávaly výpadky služeb z důvodů například hackerských útoků na ICT infrastrukturu ve </w:t>
      </w:r>
      <w:r w:rsidRPr="002C11F5">
        <w:rPr>
          <w:rFonts w:cs="Arial"/>
        </w:rPr>
        <w:t>zdravotnictví</w:t>
      </w:r>
      <w:r>
        <w:rPr>
          <w:rFonts w:cs="Arial"/>
        </w:rPr>
        <w:t xml:space="preserve"> a </w:t>
      </w:r>
      <w:r w:rsidR="00393FF3">
        <w:rPr>
          <w:rFonts w:cs="Arial"/>
        </w:rPr>
        <w:t xml:space="preserve">ve </w:t>
      </w:r>
      <w:r>
        <w:rPr>
          <w:rFonts w:cs="Arial"/>
        </w:rPr>
        <w:t>veřejné správ</w:t>
      </w:r>
      <w:r w:rsidR="00393FF3">
        <w:rPr>
          <w:rFonts w:cs="Arial"/>
        </w:rPr>
        <w:t>ě</w:t>
      </w:r>
      <w:r w:rsidRPr="002C11F5">
        <w:rPr>
          <w:rFonts w:cs="Arial"/>
        </w:rPr>
        <w:t xml:space="preserve">. </w:t>
      </w:r>
      <w:r>
        <w:rPr>
          <w:rFonts w:cs="Arial"/>
        </w:rPr>
        <w:t>Lze vycházet z předpokladu, že</w:t>
      </w:r>
      <w:r w:rsidRPr="002C11F5">
        <w:rPr>
          <w:rFonts w:cs="Arial"/>
        </w:rPr>
        <w:t xml:space="preserve"> při zlepšení technického vybavení </w:t>
      </w:r>
      <w:r w:rsidRPr="0021774A">
        <w:rPr>
          <w:rFonts w:cs="Arial"/>
        </w:rPr>
        <w:t xml:space="preserve">dojde ke zrychlení reakčních časů a kvality služby a díky modernímu vybavení a zázemí jednotlivých aktérů dojde k menším škodám a tedy i následným </w:t>
      </w:r>
      <w:r w:rsidR="00F6625F">
        <w:rPr>
          <w:rFonts w:cs="Arial"/>
        </w:rPr>
        <w:t xml:space="preserve">nižším </w:t>
      </w:r>
      <w:r w:rsidRPr="0021774A">
        <w:rPr>
          <w:rFonts w:cs="Arial"/>
        </w:rPr>
        <w:t xml:space="preserve">nákladům při odstraňování následků. </w:t>
      </w:r>
    </w:p>
    <w:p w:rsidR="00FD3336" w:rsidRPr="00EC15E7" w:rsidRDefault="00FD3336" w:rsidP="00FD3336">
      <w:pPr>
        <w:spacing w:before="120" w:line="240" w:lineRule="auto"/>
        <w:textAlignment w:val="center"/>
        <w:rPr>
          <w:iCs/>
        </w:rPr>
      </w:pPr>
      <w:r>
        <w:rPr>
          <w:iCs/>
        </w:rPr>
        <w:t>C</w:t>
      </w:r>
      <w:r w:rsidRPr="00EC15E7">
        <w:rPr>
          <w:iCs/>
        </w:rPr>
        <w:t xml:space="preserve">itelně zasaženým </w:t>
      </w:r>
      <w:r>
        <w:rPr>
          <w:iCs/>
        </w:rPr>
        <w:t xml:space="preserve">sektorem </w:t>
      </w:r>
      <w:r w:rsidRPr="00EC15E7">
        <w:rPr>
          <w:iCs/>
        </w:rPr>
        <w:t xml:space="preserve">krizí </w:t>
      </w:r>
      <w:r w:rsidR="00442F45" w:rsidRPr="00EC15E7">
        <w:rPr>
          <w:iCs/>
        </w:rPr>
        <w:t>COVID</w:t>
      </w:r>
      <w:r w:rsidR="00442F45">
        <w:rPr>
          <w:iCs/>
        </w:rPr>
        <w:t>-19</w:t>
      </w:r>
      <w:r w:rsidR="00442F45" w:rsidRPr="00EC15E7">
        <w:rPr>
          <w:iCs/>
        </w:rPr>
        <w:t xml:space="preserve"> </w:t>
      </w:r>
      <w:r w:rsidRPr="00EC15E7">
        <w:rPr>
          <w:iCs/>
        </w:rPr>
        <w:t>byla i oblast sociálních služeb, kd</w:t>
      </w:r>
      <w:r>
        <w:rPr>
          <w:iCs/>
        </w:rPr>
        <w:t>e</w:t>
      </w:r>
      <w:r w:rsidRPr="00EC15E7">
        <w:rPr>
          <w:iCs/>
        </w:rPr>
        <w:t xml:space="preserve"> </w:t>
      </w:r>
      <w:r>
        <w:rPr>
          <w:iCs/>
        </w:rPr>
        <w:t>se ukázala omezená kapacita</w:t>
      </w:r>
      <w:r w:rsidRPr="00EC15E7">
        <w:rPr>
          <w:iCs/>
        </w:rPr>
        <w:t xml:space="preserve"> </w:t>
      </w:r>
      <w:r w:rsidR="00F6625F">
        <w:rPr>
          <w:iCs/>
        </w:rPr>
        <w:t xml:space="preserve">či nevyhovující fyzické uspořádání </w:t>
      </w:r>
      <w:r>
        <w:rPr>
          <w:iCs/>
        </w:rPr>
        <w:t xml:space="preserve">některých typů zařízení </w:t>
      </w:r>
      <w:r w:rsidRPr="00EC15E7">
        <w:rPr>
          <w:iCs/>
        </w:rPr>
        <w:t>sociálních služeb. Z toho důvodu je navržena z </w:t>
      </w:r>
      <w:r w:rsidR="00F57625">
        <w:rPr>
          <w:iCs/>
        </w:rPr>
        <w:t>React</w:t>
      </w:r>
      <w:r w:rsidRPr="00EC15E7">
        <w:rPr>
          <w:iCs/>
        </w:rPr>
        <w:t xml:space="preserve">EU podpora infrastruktury sociálních služeb s cílem vybudovat </w:t>
      </w:r>
      <w:r>
        <w:rPr>
          <w:iCs/>
        </w:rPr>
        <w:t xml:space="preserve">dodatečné </w:t>
      </w:r>
      <w:r w:rsidRPr="00EC15E7">
        <w:rPr>
          <w:iCs/>
        </w:rPr>
        <w:t>kapacity pro</w:t>
      </w:r>
      <w:r>
        <w:rPr>
          <w:iCs/>
        </w:rPr>
        <w:t xml:space="preserve"> vytipované </w:t>
      </w:r>
      <w:r w:rsidRPr="00EC15E7">
        <w:rPr>
          <w:iCs/>
        </w:rPr>
        <w:t>sociální služby, odolné vůči případné další vlně COVID</w:t>
      </w:r>
      <w:r w:rsidR="00442F45">
        <w:rPr>
          <w:iCs/>
        </w:rPr>
        <w:t>-19</w:t>
      </w:r>
      <w:r w:rsidRPr="00EC15E7">
        <w:rPr>
          <w:iCs/>
        </w:rPr>
        <w:t xml:space="preserve">. </w:t>
      </w:r>
    </w:p>
    <w:p w:rsidR="00FD3336" w:rsidRPr="00AB715F" w:rsidRDefault="00FD3336" w:rsidP="00FD3336">
      <w:pPr>
        <w:spacing w:before="120" w:line="240" w:lineRule="auto"/>
        <w:textAlignment w:val="center"/>
        <w:rPr>
          <w:iCs/>
          <w:color w:val="1F497D"/>
        </w:rPr>
      </w:pPr>
      <w:r w:rsidRPr="00EC15E7">
        <w:rPr>
          <w:iCs/>
        </w:rPr>
        <w:t>Poslední navrhovanou intervencí je cyklodoprava</w:t>
      </w:r>
      <w:r>
        <w:rPr>
          <w:iCs/>
        </w:rPr>
        <w:t>, jelikož</w:t>
      </w:r>
      <w:r w:rsidRPr="00EC15E7">
        <w:rPr>
          <w:iCs/>
        </w:rPr>
        <w:t xml:space="preserve"> c</w:t>
      </w:r>
      <w:r w:rsidRPr="00EC15E7">
        <w:rPr>
          <w:rFonts w:cs="Arial"/>
        </w:rPr>
        <w:t xml:space="preserve">yklistická doprava během pandemie COVID-19 potvrdila nejen své postavení čisté alternativy vůči individuální automobilové dopravě, ale zejména zdravější a bezpečnější alternativy vůči veřejné hromadné </w:t>
      </w:r>
      <w:r>
        <w:rPr>
          <w:rFonts w:cs="Arial"/>
        </w:rPr>
        <w:t xml:space="preserve">dopravě při běžných cestách na kratší vzdálenosti. Kromě efektivity a přínosů pro lidský organismus vytváří síť cyklostezek také část </w:t>
      </w:r>
      <w:r w:rsidRPr="00AB715F">
        <w:rPr>
          <w:rFonts w:cs="Arial"/>
        </w:rPr>
        <w:t>infrastruktury cestovního ruchu, který patří mezi sektory nejvíce zasažené pandemií COVID-19. Investicemi do cestovního ruchu bude zároveň podpořena návštěvnost v regionech.</w:t>
      </w:r>
    </w:p>
    <w:p w:rsidR="00FD3336" w:rsidRPr="00AB715F" w:rsidRDefault="00FD3336" w:rsidP="00501D50">
      <w:pPr>
        <w:spacing w:before="120" w:line="240" w:lineRule="auto"/>
      </w:pPr>
      <w:r w:rsidRPr="00AB715F">
        <w:t xml:space="preserve">Je plánováno, že bude využita 100% míra </w:t>
      </w:r>
      <w:r w:rsidR="00FE0D53">
        <w:t>spolu</w:t>
      </w:r>
      <w:r w:rsidRPr="00AB715F">
        <w:t>financování projektů. Projekty budou realizovány na území celé ČR, tj. bez ohledu na kategorii regionů.</w:t>
      </w:r>
    </w:p>
    <w:p w:rsidR="00135DCE" w:rsidRPr="00AB715F" w:rsidRDefault="00135DCE" w:rsidP="00135DCE">
      <w:pPr>
        <w:spacing w:before="120" w:line="240" w:lineRule="auto"/>
      </w:pPr>
      <w:r w:rsidRPr="00AB715F">
        <w:t xml:space="preserve">V souvislosti s přidělením dodatečných prostředků </w:t>
      </w:r>
      <w:r w:rsidR="00F6625F">
        <w:t>IR</w:t>
      </w:r>
      <w:r w:rsidRPr="00AB715F">
        <w:t>OP bude potřeba pracovat s řadou rizik v oblasti implementace programu. Jde především o riziko spojené s časem, neboť prostředky je nutné vyčerpat do konce roku 2023</w:t>
      </w:r>
      <w:r w:rsidR="00CE193F">
        <w:rPr>
          <w:rStyle w:val="Znakapoznpodarou"/>
        </w:rPr>
        <w:footnoteReference w:id="5"/>
      </w:r>
      <w:r w:rsidRPr="00AB715F">
        <w:t xml:space="preserve">. Z tohoto důvodu jsou rizikové zejména stavební projekty, které nemají dosud vydané stavební povolení. Navýšením alokace IROP </w:t>
      </w:r>
      <w:r w:rsidR="00F6625F">
        <w:t xml:space="preserve">by mohlo </w:t>
      </w:r>
      <w:r w:rsidRPr="00AB715F">
        <w:t>doj</w:t>
      </w:r>
      <w:r w:rsidR="00F6625F">
        <w:t>ít</w:t>
      </w:r>
      <w:r w:rsidRPr="00AB715F">
        <w:t xml:space="preserve"> k</w:t>
      </w:r>
      <w:r w:rsidR="00F6625F">
        <w:t xml:space="preserve"> potenciálnímu </w:t>
      </w:r>
      <w:r w:rsidRPr="00AB715F">
        <w:t xml:space="preserve">překryvu aktivit s programovým obdobím 2021-2027, a tím ke zvýšeným nárokům na administrativní kapacitu ŘO, ale také k možnému odčerpání absorpční kapacity v počátku období </w:t>
      </w:r>
      <w:r w:rsidR="00F6625F" w:rsidRPr="00AB715F">
        <w:t>2021-2027</w:t>
      </w:r>
      <w:r w:rsidR="00F6625F">
        <w:t xml:space="preserve"> </w:t>
      </w:r>
      <w:r w:rsidRPr="00AB715F">
        <w:t>a nutnosti zaměřit se detailně na opatření k předcházení rizika automatického zrušení závazku.</w:t>
      </w:r>
      <w:r w:rsidR="00F6625F">
        <w:t xml:space="preserve"> Po odsouhlasení tohoto návrhu budou adekvátně upraveny plánované podporované aktivity pro </w:t>
      </w:r>
      <w:r w:rsidR="00F6625F" w:rsidRPr="00AB715F">
        <w:t>období 2021-2027</w:t>
      </w:r>
      <w:r w:rsidR="00F6625F">
        <w:t>.</w:t>
      </w:r>
    </w:p>
    <w:p w:rsidR="00135DCE" w:rsidRPr="00FD3336" w:rsidRDefault="00135DCE" w:rsidP="00135DCE">
      <w:pPr>
        <w:pStyle w:val="Nadpis3"/>
        <w:numPr>
          <w:ilvl w:val="2"/>
          <w:numId w:val="10"/>
        </w:numPr>
      </w:pPr>
      <w:r>
        <w:t xml:space="preserve">Navrhované aktivity pro využití </w:t>
      </w:r>
      <w:r w:rsidR="00F57625">
        <w:t>React</w:t>
      </w:r>
      <w:r>
        <w:t xml:space="preserve">EU a výsledky zmapování </w:t>
      </w:r>
      <w:r w:rsidR="00CA3FAB">
        <w:t xml:space="preserve">jejich </w:t>
      </w:r>
      <w:r>
        <w:t>absorpční kapacity</w:t>
      </w:r>
    </w:p>
    <w:p w:rsidR="00135DCE" w:rsidRDefault="00135DCE" w:rsidP="00135DCE">
      <w:pPr>
        <w:spacing w:line="240" w:lineRule="auto"/>
        <w:rPr>
          <w:lang w:eastAsia="x-none"/>
        </w:rPr>
      </w:pPr>
      <w:r>
        <w:rPr>
          <w:lang w:eastAsia="x-none"/>
        </w:rPr>
        <w:t xml:space="preserve">MMR ve spolupráci s věcnými gestory zmapovalo absorpční kapacitu v jednotlivých oblastech </w:t>
      </w:r>
      <w:r w:rsidR="00B75F8B">
        <w:rPr>
          <w:lang w:eastAsia="x-none"/>
        </w:rPr>
        <w:br/>
      </w:r>
      <w:r>
        <w:rPr>
          <w:lang w:eastAsia="x-none"/>
        </w:rPr>
        <w:t xml:space="preserve">i s ohledem na stav připravenosti projektů a samotné očekávané doby realizace projektů. </w:t>
      </w:r>
    </w:p>
    <w:p w:rsidR="00135DCE" w:rsidRDefault="00501D50" w:rsidP="00501D50">
      <w:pPr>
        <w:pStyle w:val="Nadpis3"/>
        <w:spacing w:after="0" w:line="240" w:lineRule="auto"/>
      </w:pPr>
      <w:r>
        <w:tab/>
        <w:t xml:space="preserve">     Výsledky zmapování absorpční kapacity</w:t>
      </w:r>
    </w:p>
    <w:tbl>
      <w:tblPr>
        <w:tblW w:w="6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720"/>
      </w:tblGrid>
      <w:tr w:rsidR="00135DCE" w:rsidRPr="00135DCE" w:rsidTr="00501D50">
        <w:trPr>
          <w:trHeight w:val="480"/>
          <w:jc w:val="center"/>
        </w:trPr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5DCE" w:rsidRPr="00135DCE" w:rsidRDefault="00135DCE" w:rsidP="00F5762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Témata pro </w:t>
            </w:r>
            <w:r w:rsidR="00F5762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React</w:t>
            </w:r>
            <w:r w:rsidRPr="00135DCE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EU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Absorpční kapacita</w:t>
            </w:r>
          </w:p>
        </w:tc>
      </w:tr>
      <w:tr w:rsidR="00135DCE" w:rsidRPr="00135DCE" w:rsidTr="00501D50">
        <w:trPr>
          <w:trHeight w:val="270"/>
          <w:jc w:val="center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(mil. CZK) </w:t>
            </w:r>
          </w:p>
        </w:tc>
      </w:tr>
      <w:tr w:rsidR="00135DCE" w:rsidRPr="00135DCE" w:rsidTr="00501D50">
        <w:trPr>
          <w:trHeight w:val="270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Zdravotnictví - přístrojové vybavení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15 200</w:t>
            </w:r>
          </w:p>
        </w:tc>
      </w:tr>
      <w:tr w:rsidR="00135DCE" w:rsidRPr="00135DCE" w:rsidTr="00501D50">
        <w:trPr>
          <w:trHeight w:val="270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Zdravotnictví – stavby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15 500</w:t>
            </w:r>
          </w:p>
        </w:tc>
      </w:tr>
      <w:tr w:rsidR="00135DCE" w:rsidRPr="00135DCE" w:rsidTr="00501D50">
        <w:trPr>
          <w:trHeight w:val="270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Zdravotnictví - záchranky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1 390</w:t>
            </w:r>
          </w:p>
        </w:tc>
      </w:tr>
      <w:tr w:rsidR="00135DCE" w:rsidRPr="00135DCE" w:rsidTr="00501D50">
        <w:trPr>
          <w:trHeight w:val="270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Integrovaný záchranný systém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3 460</w:t>
            </w:r>
          </w:p>
        </w:tc>
      </w:tr>
      <w:tr w:rsidR="00135DCE" w:rsidRPr="00135DCE" w:rsidTr="00501D50">
        <w:trPr>
          <w:trHeight w:val="270"/>
          <w:jc w:val="center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Kybernetická bezpečnost ve zdravotnictví a veřejné správě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8 200</w:t>
            </w:r>
          </w:p>
        </w:tc>
      </w:tr>
      <w:tr w:rsidR="00135DCE" w:rsidRPr="00135DCE" w:rsidTr="00501D50">
        <w:trPr>
          <w:trHeight w:val="270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Infrastruktura pro sociální služby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C97925" w:rsidP="00135DC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  <w:r w:rsidR="00135DCE"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000</w:t>
            </w:r>
          </w:p>
        </w:tc>
      </w:tr>
      <w:tr w:rsidR="00135DCE" w:rsidRPr="00135DCE" w:rsidTr="00501D50">
        <w:trPr>
          <w:trHeight w:val="270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Cyklodoprava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2 000</w:t>
            </w:r>
          </w:p>
        </w:tc>
      </w:tr>
      <w:tr w:rsidR="00135DCE" w:rsidRPr="00135DCE" w:rsidTr="00501D50">
        <w:trPr>
          <w:trHeight w:val="270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Technická pomoc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color w:val="000000"/>
                <w:szCs w:val="20"/>
                <w:lang w:eastAsia="cs-CZ"/>
              </w:rPr>
              <w:t>240</w:t>
            </w:r>
          </w:p>
        </w:tc>
      </w:tr>
      <w:tr w:rsidR="00135DCE" w:rsidRPr="00135DCE" w:rsidTr="00501D50">
        <w:trPr>
          <w:trHeight w:val="270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35DCE" w:rsidRPr="00135DCE" w:rsidRDefault="00135DCE" w:rsidP="00135DC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35DCE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Celkem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5DCE" w:rsidRPr="00135DCE" w:rsidRDefault="00C97925" w:rsidP="00135DC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48</w:t>
            </w:r>
            <w:r w:rsidR="00135DCE" w:rsidRPr="00135DCE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 990</w:t>
            </w:r>
          </w:p>
        </w:tc>
      </w:tr>
    </w:tbl>
    <w:p w:rsidR="00135DCE" w:rsidRDefault="00135DCE" w:rsidP="00135DCE">
      <w:pPr>
        <w:rPr>
          <w:lang w:eastAsia="x-none"/>
        </w:rPr>
      </w:pPr>
    </w:p>
    <w:p w:rsidR="002A2B8A" w:rsidRPr="007E10F3" w:rsidRDefault="002A2B8A" w:rsidP="00C9187F">
      <w:pPr>
        <w:spacing w:line="276" w:lineRule="auto"/>
        <w:rPr>
          <w:highlight w:val="yellow"/>
        </w:rPr>
      </w:pPr>
    </w:p>
    <w:p w:rsidR="00084FEA" w:rsidRDefault="00084FEA" w:rsidP="00135DCE">
      <w:pPr>
        <w:pStyle w:val="Nadpis2"/>
        <w:numPr>
          <w:ilvl w:val="1"/>
          <w:numId w:val="10"/>
        </w:numPr>
        <w:ind w:left="426"/>
      </w:pPr>
      <w:r>
        <w:t xml:space="preserve">Postup </w:t>
      </w:r>
      <w:r w:rsidRPr="00BF638A">
        <w:t>provedení navrhovaných změn</w:t>
      </w:r>
      <w:r w:rsidR="002C1233">
        <w:t xml:space="preserve"> a harmonogram</w:t>
      </w:r>
    </w:p>
    <w:p w:rsidR="00084FEA" w:rsidRDefault="00132486" w:rsidP="006252D3">
      <w:pPr>
        <w:spacing w:before="120" w:line="240" w:lineRule="auto"/>
      </w:pPr>
      <w:r>
        <w:t>Přidělení dodatečné alokace</w:t>
      </w:r>
      <w:r w:rsidR="00084FEA">
        <w:t xml:space="preserve"> </w:t>
      </w:r>
      <w:r w:rsidR="00350FF3">
        <w:t xml:space="preserve">dle </w:t>
      </w:r>
      <w:r w:rsidR="00F57625">
        <w:t>React</w:t>
      </w:r>
      <w:r w:rsidR="00350FF3">
        <w:t>EU</w:t>
      </w:r>
      <w:r w:rsidR="00084FEA">
        <w:t xml:space="preserve"> </w:t>
      </w:r>
      <w:r w:rsidR="00416B29">
        <w:t xml:space="preserve">bude probíhat formou revize </w:t>
      </w:r>
      <w:r>
        <w:t>operačního programu</w:t>
      </w:r>
      <w:r w:rsidR="00084FEA">
        <w:t xml:space="preserve">. </w:t>
      </w:r>
    </w:p>
    <w:p w:rsidR="00084FEA" w:rsidRPr="00537331" w:rsidRDefault="00084FEA" w:rsidP="006252D3">
      <w:pPr>
        <w:spacing w:before="120" w:line="240" w:lineRule="auto"/>
        <w:rPr>
          <w:rFonts w:cs="Arial"/>
          <w:b/>
          <w:szCs w:val="24"/>
        </w:rPr>
      </w:pPr>
      <w:r w:rsidRPr="00537331">
        <w:rPr>
          <w:rFonts w:cs="Arial"/>
          <w:b/>
          <w:szCs w:val="24"/>
        </w:rPr>
        <w:t xml:space="preserve">Všechny </w:t>
      </w:r>
      <w:r w:rsidR="00132486" w:rsidRPr="00537331">
        <w:rPr>
          <w:rFonts w:cs="Arial"/>
          <w:b/>
          <w:szCs w:val="24"/>
        </w:rPr>
        <w:t>související změny operační</w:t>
      </w:r>
      <w:r w:rsidRPr="00537331">
        <w:rPr>
          <w:rFonts w:cs="Arial"/>
          <w:b/>
          <w:szCs w:val="24"/>
        </w:rPr>
        <w:t>h</w:t>
      </w:r>
      <w:r w:rsidR="00132486" w:rsidRPr="00537331">
        <w:rPr>
          <w:rFonts w:cs="Arial"/>
          <w:b/>
          <w:szCs w:val="24"/>
        </w:rPr>
        <w:t>o programu</w:t>
      </w:r>
      <w:r w:rsidRPr="00537331">
        <w:rPr>
          <w:rFonts w:cs="Arial"/>
          <w:b/>
          <w:szCs w:val="24"/>
        </w:rPr>
        <w:t xml:space="preserve"> musí schválit </w:t>
      </w:r>
      <w:r w:rsidR="00CE193F" w:rsidRPr="00537331">
        <w:rPr>
          <w:rFonts w:cs="Arial"/>
          <w:b/>
          <w:szCs w:val="24"/>
        </w:rPr>
        <w:t>příslušn</w:t>
      </w:r>
      <w:r w:rsidR="00CE193F">
        <w:rPr>
          <w:rFonts w:cs="Arial"/>
          <w:b/>
          <w:szCs w:val="24"/>
        </w:rPr>
        <w:t>ý</w:t>
      </w:r>
      <w:r w:rsidR="00CE193F" w:rsidRPr="00537331">
        <w:rPr>
          <w:rFonts w:cs="Arial"/>
          <w:b/>
          <w:szCs w:val="24"/>
        </w:rPr>
        <w:t xml:space="preserve"> </w:t>
      </w:r>
      <w:r w:rsidRPr="00537331">
        <w:rPr>
          <w:rFonts w:cs="Arial"/>
          <w:b/>
          <w:szCs w:val="24"/>
        </w:rPr>
        <w:t xml:space="preserve">monitorovací výbor </w:t>
      </w:r>
      <w:r w:rsidR="00CE193F">
        <w:rPr>
          <w:rFonts w:cs="Arial"/>
          <w:b/>
          <w:szCs w:val="24"/>
        </w:rPr>
        <w:t>IROP</w:t>
      </w:r>
      <w:r w:rsidRPr="00537331">
        <w:rPr>
          <w:rFonts w:cs="Arial"/>
          <w:b/>
          <w:szCs w:val="24"/>
        </w:rPr>
        <w:t xml:space="preserve"> za účasti partnerů a následně E</w:t>
      </w:r>
      <w:r w:rsidR="00B6264B">
        <w:rPr>
          <w:rFonts w:cs="Arial"/>
          <w:b/>
          <w:szCs w:val="24"/>
        </w:rPr>
        <w:t>K</w:t>
      </w:r>
      <w:r w:rsidRPr="00537331">
        <w:rPr>
          <w:rFonts w:cs="Arial"/>
          <w:b/>
          <w:szCs w:val="24"/>
        </w:rPr>
        <w:t>.</w:t>
      </w:r>
    </w:p>
    <w:p w:rsidR="00084FEA" w:rsidRPr="00BF638A" w:rsidRDefault="00416B29" w:rsidP="006252D3">
      <w:pPr>
        <w:spacing w:before="120" w:line="240" w:lineRule="auto"/>
        <w:rPr>
          <w:b/>
        </w:rPr>
      </w:pPr>
      <w:r>
        <w:rPr>
          <w:b/>
        </w:rPr>
        <w:t xml:space="preserve">Jednotlivé kroky nezbytné pro přidělení dodateční alokace </w:t>
      </w:r>
      <w:r w:rsidR="00F57625">
        <w:rPr>
          <w:b/>
        </w:rPr>
        <w:t>React</w:t>
      </w:r>
      <w:r>
        <w:rPr>
          <w:b/>
        </w:rPr>
        <w:t>EU:</w:t>
      </w:r>
    </w:p>
    <w:p w:rsidR="00C9187F" w:rsidRDefault="00C9187F" w:rsidP="0017146E">
      <w:pPr>
        <w:pStyle w:val="Odstavecseseznamem"/>
        <w:numPr>
          <w:ilvl w:val="0"/>
          <w:numId w:val="4"/>
        </w:numPr>
        <w:spacing w:before="120" w:line="240" w:lineRule="auto"/>
      </w:pPr>
      <w:r>
        <w:t xml:space="preserve">Schválení </w:t>
      </w:r>
      <w:r w:rsidR="00084FEA">
        <w:t xml:space="preserve">záměru využít dodatečné alokace </w:t>
      </w:r>
      <w:r w:rsidR="007F277E">
        <w:t xml:space="preserve">k </w:t>
      </w:r>
      <w:r w:rsidR="00084FEA">
        <w:t xml:space="preserve">ESIF v návaznosti na </w:t>
      </w:r>
      <w:r w:rsidR="00F57625">
        <w:t>React</w:t>
      </w:r>
      <w:r w:rsidR="00084FEA">
        <w:t xml:space="preserve">EU </w:t>
      </w:r>
      <w:r>
        <w:t>vládou</w:t>
      </w:r>
      <w:r w:rsidR="00B6264B">
        <w:t>;</w:t>
      </w:r>
    </w:p>
    <w:p w:rsidR="00C9187F" w:rsidRDefault="00C9187F" w:rsidP="0017146E">
      <w:pPr>
        <w:pStyle w:val="Odstavecseseznamem"/>
        <w:numPr>
          <w:ilvl w:val="0"/>
          <w:numId w:val="4"/>
        </w:numPr>
        <w:spacing w:before="120" w:line="240" w:lineRule="auto"/>
      </w:pPr>
      <w:r>
        <w:t>Schválení legislativy</w:t>
      </w:r>
      <w:r w:rsidR="00084FEA">
        <w:t xml:space="preserve"> </w:t>
      </w:r>
      <w:r w:rsidR="00F57625">
        <w:t>React</w:t>
      </w:r>
      <w:r w:rsidR="00084FEA">
        <w:t>EU v rámci EU</w:t>
      </w:r>
      <w:r w:rsidR="00B6264B">
        <w:t>;</w:t>
      </w:r>
    </w:p>
    <w:p w:rsidR="00084FEA" w:rsidRDefault="00084FEA" w:rsidP="0017146E">
      <w:pPr>
        <w:pStyle w:val="Odstavecseseznamem"/>
        <w:numPr>
          <w:ilvl w:val="0"/>
          <w:numId w:val="4"/>
        </w:numPr>
        <w:spacing w:before="120" w:line="240" w:lineRule="auto"/>
      </w:pPr>
      <w:r w:rsidRPr="00B66C5C">
        <w:t>Příprava návrhu změn řídicím</w:t>
      </w:r>
      <w:r w:rsidR="008D433C">
        <w:t xml:space="preserve"> </w:t>
      </w:r>
      <w:r w:rsidRPr="00B66C5C">
        <w:t>orgán</w:t>
      </w:r>
      <w:r w:rsidR="00CE193F">
        <w:t>em</w:t>
      </w:r>
      <w:r w:rsidRPr="00B66C5C">
        <w:t xml:space="preserve"> </w:t>
      </w:r>
      <w:r w:rsidR="00CE193F">
        <w:t>IROP</w:t>
      </w:r>
      <w:r w:rsidR="00416B29">
        <w:t xml:space="preserve"> a řádného odůvodnění využití prostředků na daný účel</w:t>
      </w:r>
      <w:r w:rsidRPr="00B66C5C">
        <w:t xml:space="preserve">; </w:t>
      </w:r>
    </w:p>
    <w:p w:rsidR="00084FEA" w:rsidRPr="00B66C5C" w:rsidRDefault="00084FEA" w:rsidP="0017146E">
      <w:pPr>
        <w:pStyle w:val="Odstavecseseznamem"/>
        <w:numPr>
          <w:ilvl w:val="0"/>
          <w:numId w:val="4"/>
        </w:numPr>
        <w:spacing w:before="120" w:line="240" w:lineRule="auto"/>
      </w:pPr>
      <w:r>
        <w:t xml:space="preserve">Předjednání změn </w:t>
      </w:r>
      <w:r w:rsidR="00416B29">
        <w:t xml:space="preserve">OP </w:t>
      </w:r>
      <w:r>
        <w:t>s Evropskou komisí;</w:t>
      </w:r>
    </w:p>
    <w:p w:rsidR="00084FEA" w:rsidRPr="00B66C5C" w:rsidRDefault="00084FEA" w:rsidP="0017146E">
      <w:pPr>
        <w:pStyle w:val="Odstavecseseznamem"/>
        <w:numPr>
          <w:ilvl w:val="0"/>
          <w:numId w:val="4"/>
        </w:numPr>
        <w:spacing w:before="120" w:line="240" w:lineRule="auto"/>
      </w:pPr>
      <w:r w:rsidRPr="00B66C5C">
        <w:t xml:space="preserve">Předložení </w:t>
      </w:r>
      <w:r>
        <w:t xml:space="preserve">návrhu změn OP monitorovacímu výboru </w:t>
      </w:r>
      <w:r w:rsidRPr="00B66C5C">
        <w:t xml:space="preserve">a schválení monitorovacím výborem </w:t>
      </w:r>
      <w:r>
        <w:t>OP</w:t>
      </w:r>
      <w:r w:rsidRPr="00B66C5C">
        <w:t xml:space="preserve">; </w:t>
      </w:r>
    </w:p>
    <w:p w:rsidR="00084FEA" w:rsidRPr="00B66C5C" w:rsidRDefault="00084FEA" w:rsidP="0017146E">
      <w:pPr>
        <w:pStyle w:val="Odstavecseseznamem"/>
        <w:numPr>
          <w:ilvl w:val="0"/>
          <w:numId w:val="4"/>
        </w:numPr>
        <w:spacing w:before="120" w:line="240" w:lineRule="auto"/>
      </w:pPr>
      <w:r>
        <w:t>Předložení žádosti o změny OP do EK</w:t>
      </w:r>
      <w:r w:rsidR="00B6264B">
        <w:t>;</w:t>
      </w:r>
      <w:r w:rsidRPr="00B66C5C">
        <w:t xml:space="preserve"> </w:t>
      </w:r>
    </w:p>
    <w:p w:rsidR="00084FEA" w:rsidRPr="00CE193F" w:rsidRDefault="00084FEA" w:rsidP="0017146E">
      <w:pPr>
        <w:pStyle w:val="Odstavecseseznamem"/>
        <w:numPr>
          <w:ilvl w:val="0"/>
          <w:numId w:val="4"/>
        </w:numPr>
        <w:spacing w:before="120" w:line="240" w:lineRule="auto"/>
      </w:pPr>
      <w:r w:rsidRPr="00CE193F">
        <w:t>Schvalovací proces na straně EK</w:t>
      </w:r>
      <w:r w:rsidR="00372FF8" w:rsidRPr="00CE193F">
        <w:t xml:space="preserve"> (předpoklad zrychleného schválení)</w:t>
      </w:r>
      <w:r w:rsidR="00B6264B" w:rsidRPr="00CE193F">
        <w:t>.</w:t>
      </w:r>
    </w:p>
    <w:p w:rsidR="00CF2BDA" w:rsidRDefault="00CF2BDA" w:rsidP="00501D50">
      <w:pPr>
        <w:pStyle w:val="Nadpis3"/>
        <w:spacing w:after="0" w:line="240" w:lineRule="auto"/>
        <w:ind w:hanging="11"/>
      </w:pPr>
      <w:r>
        <w:t xml:space="preserve">Harmonogram </w:t>
      </w:r>
    </w:p>
    <w:tbl>
      <w:tblPr>
        <w:tblW w:w="7938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17"/>
      </w:tblGrid>
      <w:tr w:rsidR="0085290A" w:rsidRPr="0085290A" w:rsidTr="0085290A">
        <w:trPr>
          <w:trHeight w:val="31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5290A" w:rsidRPr="0085290A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5290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Akce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5290A" w:rsidRPr="0085290A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5290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Termín</w:t>
            </w:r>
          </w:p>
        </w:tc>
      </w:tr>
      <w:tr w:rsidR="0085290A" w:rsidRPr="0085290A" w:rsidTr="0085290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85290A" w:rsidRDefault="0085290A" w:rsidP="00F5762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5290A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Zveřejnění návrhu nařízení k </w:t>
            </w:r>
            <w:r w:rsidR="00F57625">
              <w:rPr>
                <w:rFonts w:eastAsia="Times New Roman" w:cs="Arial"/>
                <w:color w:val="000000"/>
                <w:szCs w:val="20"/>
                <w:lang w:eastAsia="cs-CZ"/>
              </w:rPr>
              <w:t>React</w:t>
            </w:r>
            <w:r w:rsidRPr="0085290A">
              <w:rPr>
                <w:rFonts w:eastAsia="Times New Roman" w:cs="Arial"/>
                <w:color w:val="000000"/>
                <w:szCs w:val="20"/>
                <w:lang w:eastAsia="cs-CZ"/>
              </w:rPr>
              <w:t>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85290A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252D3">
              <w:rPr>
                <w:rFonts w:cs="Arial"/>
                <w:szCs w:val="20"/>
                <w:lang w:eastAsia="cs-CZ"/>
              </w:rPr>
              <w:t>28. 5. 2020</w:t>
            </w:r>
          </w:p>
        </w:tc>
      </w:tr>
      <w:tr w:rsidR="0085290A" w:rsidRPr="0085290A" w:rsidTr="0085290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85290A" w:rsidRDefault="0085290A" w:rsidP="00F5762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5290A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Projednání a schválení zaměření </w:t>
            </w:r>
            <w:r w:rsidR="00F57625">
              <w:rPr>
                <w:rFonts w:eastAsia="Times New Roman" w:cs="Arial"/>
                <w:color w:val="000000"/>
                <w:szCs w:val="20"/>
                <w:lang w:eastAsia="cs-CZ"/>
              </w:rPr>
              <w:t>React</w:t>
            </w:r>
            <w:r w:rsidRPr="0085290A">
              <w:rPr>
                <w:rFonts w:eastAsia="Times New Roman" w:cs="Arial"/>
                <w:color w:val="000000"/>
                <w:szCs w:val="20"/>
                <w:lang w:eastAsia="cs-CZ"/>
              </w:rPr>
              <w:t>EU v ČR na vládě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85290A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314C9">
              <w:rPr>
                <w:rFonts w:cs="Arial"/>
                <w:szCs w:val="20"/>
                <w:lang w:eastAsia="cs-CZ"/>
              </w:rPr>
              <w:t>27. 7. 2020</w:t>
            </w:r>
          </w:p>
        </w:tc>
      </w:tr>
      <w:tr w:rsidR="0085290A" w:rsidRPr="0085290A" w:rsidTr="0085290A">
        <w:trPr>
          <w:trHeight w:val="52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85290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E193F">
              <w:rPr>
                <w:rFonts w:eastAsia="Times New Roman" w:cs="Arial"/>
                <w:color w:val="000000"/>
                <w:szCs w:val="20"/>
                <w:lang w:eastAsia="cs-CZ"/>
              </w:rPr>
              <w:t>Schválení revize Programového dokumentu IROP na Monitorovacím výboru IROP (indikativní alokace)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E193F">
              <w:rPr>
                <w:rFonts w:cs="Arial"/>
                <w:szCs w:val="20"/>
                <w:lang w:eastAsia="cs-CZ"/>
              </w:rPr>
              <w:t>září 2020</w:t>
            </w:r>
          </w:p>
        </w:tc>
      </w:tr>
      <w:tr w:rsidR="0085290A" w:rsidRPr="0085290A" w:rsidTr="0085290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F5762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E193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Zveřejnění finálních alokací </w:t>
            </w:r>
            <w:r w:rsidR="00F57625">
              <w:rPr>
                <w:rFonts w:eastAsia="Times New Roman" w:cs="Arial"/>
                <w:color w:val="000000"/>
                <w:szCs w:val="20"/>
                <w:lang w:eastAsia="cs-CZ"/>
              </w:rPr>
              <w:t>React</w:t>
            </w:r>
            <w:r w:rsidRPr="00CE193F">
              <w:rPr>
                <w:rFonts w:eastAsia="Times New Roman" w:cs="Arial"/>
                <w:color w:val="000000"/>
                <w:szCs w:val="20"/>
                <w:lang w:eastAsia="cs-CZ"/>
              </w:rPr>
              <w:t>EU pro členské státy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E193F">
              <w:rPr>
                <w:rFonts w:cs="Arial"/>
                <w:szCs w:val="20"/>
                <w:lang w:eastAsia="cs-CZ"/>
              </w:rPr>
              <w:t>17. 10. 2020</w:t>
            </w:r>
          </w:p>
        </w:tc>
      </w:tr>
      <w:tr w:rsidR="0085290A" w:rsidRPr="0085290A" w:rsidTr="0085290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85290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E193F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Zveřejnění prvních výzev (příjem žádostí od schválení revize PD)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E193F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  <w:r w:rsidRPr="00CE193F">
              <w:rPr>
                <w:rFonts w:cs="Arial"/>
                <w:b/>
                <w:bCs/>
                <w:szCs w:val="20"/>
                <w:lang w:eastAsia="cs-CZ"/>
              </w:rPr>
              <w:t>říjen 2020</w:t>
            </w:r>
          </w:p>
        </w:tc>
      </w:tr>
      <w:tr w:rsidR="0085290A" w:rsidRPr="0085290A" w:rsidTr="0085290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F5762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E193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Schválení nařízení </w:t>
            </w:r>
            <w:r w:rsidR="00F57625">
              <w:rPr>
                <w:rFonts w:eastAsia="Times New Roman" w:cs="Arial"/>
                <w:color w:val="000000"/>
                <w:szCs w:val="20"/>
                <w:lang w:eastAsia="cs-CZ"/>
              </w:rPr>
              <w:t>React</w:t>
            </w:r>
            <w:r w:rsidRPr="00CE193F">
              <w:rPr>
                <w:rFonts w:eastAsia="Times New Roman" w:cs="Arial"/>
                <w:color w:val="000000"/>
                <w:szCs w:val="20"/>
                <w:lang w:eastAsia="cs-CZ"/>
              </w:rPr>
              <w:t>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E193F">
              <w:rPr>
                <w:rFonts w:cs="Arial"/>
                <w:szCs w:val="20"/>
                <w:lang w:eastAsia="cs-CZ"/>
              </w:rPr>
              <w:t>listopad 2020</w:t>
            </w:r>
          </w:p>
        </w:tc>
      </w:tr>
      <w:tr w:rsidR="0085290A" w:rsidRPr="0085290A" w:rsidTr="0085290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85290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E193F">
              <w:rPr>
                <w:rFonts w:eastAsia="Times New Roman" w:cs="Arial"/>
                <w:color w:val="000000"/>
                <w:szCs w:val="20"/>
                <w:lang w:eastAsia="cs-CZ"/>
              </w:rPr>
              <w:t>Schválení revize programového dokumentu IROP Evropskou komisí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E193F">
              <w:rPr>
                <w:rFonts w:cs="Arial"/>
                <w:szCs w:val="20"/>
                <w:lang w:eastAsia="cs-CZ"/>
              </w:rPr>
              <w:t>prosinec 2020</w:t>
            </w:r>
          </w:p>
        </w:tc>
      </w:tr>
      <w:tr w:rsidR="0085290A" w:rsidRPr="0085290A" w:rsidTr="0085290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85290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E193F">
              <w:rPr>
                <w:rFonts w:eastAsia="Times New Roman" w:cs="Arial"/>
                <w:color w:val="000000"/>
                <w:szCs w:val="20"/>
                <w:lang w:eastAsia="cs-CZ"/>
              </w:rPr>
              <w:t>Zahájení příjmu žádostí do nových výzev IROP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CE193F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E193F">
              <w:rPr>
                <w:rFonts w:cs="Arial"/>
                <w:szCs w:val="20"/>
                <w:lang w:eastAsia="cs-CZ"/>
              </w:rPr>
              <w:t>prosinec 2020</w:t>
            </w:r>
          </w:p>
        </w:tc>
      </w:tr>
      <w:tr w:rsidR="0085290A" w:rsidRPr="0085290A" w:rsidTr="0085290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85290A" w:rsidRDefault="0085290A" w:rsidP="0085290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5290A">
              <w:rPr>
                <w:rFonts w:eastAsia="Times New Roman" w:cs="Arial"/>
                <w:color w:val="000000"/>
                <w:szCs w:val="20"/>
                <w:lang w:eastAsia="cs-CZ"/>
              </w:rPr>
              <w:t>Vydávání právních aktů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90A" w:rsidRPr="0085290A" w:rsidRDefault="0085290A" w:rsidP="008529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5290A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  <w:r>
              <w:rPr>
                <w:rFonts w:cs="Arial"/>
                <w:szCs w:val="20"/>
                <w:lang w:eastAsia="cs-CZ"/>
              </w:rPr>
              <w:t>č</w:t>
            </w:r>
            <w:r w:rsidRPr="006252D3">
              <w:rPr>
                <w:rFonts w:cs="Arial"/>
                <w:szCs w:val="20"/>
                <w:lang w:eastAsia="cs-CZ"/>
              </w:rPr>
              <w:t>erven 2021</w:t>
            </w:r>
          </w:p>
        </w:tc>
      </w:tr>
    </w:tbl>
    <w:p w:rsidR="0085290A" w:rsidRPr="0085290A" w:rsidRDefault="0085290A" w:rsidP="0085290A"/>
    <w:p w:rsidR="00C65766" w:rsidRDefault="00C65766" w:rsidP="00084FEA">
      <w:pPr>
        <w:pStyle w:val="Odstavecseseznamem"/>
        <w:spacing w:after="16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C9187F" w:rsidRPr="00EE767F" w:rsidRDefault="00542546" w:rsidP="0017146E">
      <w:pPr>
        <w:pStyle w:val="Nadpis1"/>
        <w:numPr>
          <w:ilvl w:val="0"/>
          <w:numId w:val="11"/>
        </w:numPr>
        <w:rPr>
          <w:b/>
        </w:rPr>
      </w:pPr>
      <w:r w:rsidRPr="00EE767F">
        <w:rPr>
          <w:b/>
        </w:rPr>
        <w:t>N</w:t>
      </w:r>
      <w:r w:rsidR="009A3D1A" w:rsidRPr="00EE767F">
        <w:rPr>
          <w:b/>
        </w:rPr>
        <w:t>ávrh přesunu prostředků</w:t>
      </w:r>
      <w:r w:rsidRPr="00EE767F">
        <w:rPr>
          <w:b/>
        </w:rPr>
        <w:t xml:space="preserve"> </w:t>
      </w:r>
      <w:r w:rsidR="00EE767F">
        <w:rPr>
          <w:b/>
        </w:rPr>
        <w:t>mezi operačními programy v programovém období 2014-2020</w:t>
      </w:r>
      <w:r w:rsidRPr="00EE767F">
        <w:rPr>
          <w:b/>
        </w:rPr>
        <w:t xml:space="preserve"> </w:t>
      </w:r>
    </w:p>
    <w:p w:rsidR="00542546" w:rsidRDefault="00542546" w:rsidP="00FB36D1">
      <w:pPr>
        <w:spacing w:after="160"/>
        <w:rPr>
          <w:b/>
        </w:rPr>
      </w:pPr>
    </w:p>
    <w:p w:rsidR="002C1233" w:rsidRPr="002C1233" w:rsidRDefault="002C1233" w:rsidP="002C1233">
      <w:pPr>
        <w:pStyle w:val="Nadpis2"/>
      </w:pPr>
      <w:r>
        <w:t xml:space="preserve">2.1 </w:t>
      </w:r>
      <w:r w:rsidR="00C46AA9">
        <w:t>Shrnutí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AA9" w:rsidRPr="00E14C29" w:rsidTr="006252D3">
        <w:tc>
          <w:tcPr>
            <w:tcW w:w="9062" w:type="dxa"/>
            <w:shd w:val="clear" w:color="auto" w:fill="DEEAF6" w:themeFill="accent1" w:themeFillTint="33"/>
          </w:tcPr>
          <w:p w:rsidR="00C46AA9" w:rsidRDefault="00C46AA9" w:rsidP="00AE3C2A">
            <w:pPr>
              <w:spacing w:after="0" w:line="240" w:lineRule="auto"/>
            </w:pPr>
          </w:p>
          <w:p w:rsidR="00C46AA9" w:rsidRPr="006252D3" w:rsidRDefault="00C46AA9" w:rsidP="006252D3">
            <w:pPr>
              <w:spacing w:after="0" w:line="240" w:lineRule="auto"/>
              <w:rPr>
                <w:rFonts w:cs="Arial"/>
                <w:szCs w:val="20"/>
              </w:rPr>
            </w:pPr>
            <w:r w:rsidRPr="006252D3">
              <w:rPr>
                <w:rFonts w:cs="Arial"/>
                <w:szCs w:val="20"/>
              </w:rPr>
              <w:t>Za účelem zpětného financování programu An</w:t>
            </w:r>
            <w:r w:rsidR="00D5216C">
              <w:rPr>
                <w:rFonts w:cs="Arial"/>
                <w:szCs w:val="20"/>
              </w:rPr>
              <w:t>tivirus a financování</w:t>
            </w:r>
            <w:r w:rsidR="005969A6">
              <w:rPr>
                <w:rFonts w:cs="Arial"/>
                <w:szCs w:val="20"/>
              </w:rPr>
              <w:t xml:space="preserve"> projektu</w:t>
            </w:r>
            <w:r w:rsidR="00D5216C">
              <w:rPr>
                <w:rFonts w:cs="Arial"/>
                <w:szCs w:val="20"/>
              </w:rPr>
              <w:t xml:space="preserve"> </w:t>
            </w:r>
            <w:r w:rsidR="005969A6">
              <w:rPr>
                <w:rFonts w:cs="Arial"/>
                <w:szCs w:val="20"/>
              </w:rPr>
              <w:t xml:space="preserve">“OUTPLACEMENT (OUT)“ </w:t>
            </w:r>
            <w:r w:rsidRPr="006252D3">
              <w:rPr>
                <w:rFonts w:cs="Arial"/>
                <w:szCs w:val="20"/>
              </w:rPr>
              <w:t>na podporu zaměstnanců ohrožených propouštěním bude přesunuta disponibilní alokace OP PIK ve výši 240,421 mil. EUR do OPZ.</w:t>
            </w:r>
          </w:p>
          <w:p w:rsidR="00C46AA9" w:rsidRPr="00095FC0" w:rsidRDefault="00C46AA9" w:rsidP="00C46AA9">
            <w:pPr>
              <w:spacing w:after="0" w:line="240" w:lineRule="auto"/>
            </w:pPr>
          </w:p>
        </w:tc>
      </w:tr>
    </w:tbl>
    <w:p w:rsidR="00C46AA9" w:rsidRDefault="00C46AA9" w:rsidP="00C6395F">
      <w:pPr>
        <w:pStyle w:val="Nadpis2"/>
      </w:pPr>
    </w:p>
    <w:p w:rsidR="00061214" w:rsidRDefault="002C1233" w:rsidP="00C6395F">
      <w:pPr>
        <w:pStyle w:val="Nadpis2"/>
      </w:pPr>
      <w:r>
        <w:t xml:space="preserve">2.2 </w:t>
      </w:r>
      <w:r w:rsidR="00061214" w:rsidRPr="00061214">
        <w:t>Větší flexibilita při využití prostředků ESIF na boj s</w:t>
      </w:r>
      <w:r w:rsidR="00061214">
        <w:t> </w:t>
      </w:r>
      <w:r w:rsidR="00061214" w:rsidRPr="00061214">
        <w:t>krizí</w:t>
      </w:r>
      <w:r w:rsidR="00061214">
        <w:t xml:space="preserve"> COVID-19</w:t>
      </w:r>
    </w:p>
    <w:p w:rsidR="002C1233" w:rsidRPr="002C1233" w:rsidRDefault="002C1233" w:rsidP="002C1233"/>
    <w:p w:rsidR="00532B59" w:rsidRPr="00DC19E2" w:rsidRDefault="00532B59" w:rsidP="00412570">
      <w:pPr>
        <w:spacing w:before="120" w:line="240" w:lineRule="auto"/>
        <w:rPr>
          <w:rFonts w:cs="Arial"/>
          <w:szCs w:val="20"/>
        </w:rPr>
      </w:pPr>
      <w:r w:rsidRPr="00DC19E2">
        <w:rPr>
          <w:rFonts w:cs="Arial"/>
          <w:szCs w:val="20"/>
        </w:rPr>
        <w:t>V reakci na šíření nemoci COVID-19 upravila Evropská unie v průběhu dubna 2020 legislativu v oblasti politiky soudržnosti a implementaci ESIF</w:t>
      </w:r>
      <w:r w:rsidRPr="00DC19E2">
        <w:rPr>
          <w:rStyle w:val="Znakapoznpodarou"/>
          <w:rFonts w:cs="Arial"/>
          <w:szCs w:val="20"/>
        </w:rPr>
        <w:footnoteReference w:id="6"/>
      </w:r>
      <w:r w:rsidRPr="00DC19E2">
        <w:rPr>
          <w:rFonts w:cs="Arial"/>
          <w:szCs w:val="20"/>
        </w:rPr>
        <w:t xml:space="preserve"> </w:t>
      </w:r>
      <w:r w:rsidR="007F7965">
        <w:rPr>
          <w:rFonts w:cs="Arial"/>
          <w:szCs w:val="20"/>
        </w:rPr>
        <w:t>za účelem rychlého nasměrování a využití</w:t>
      </w:r>
      <w:r w:rsidRPr="00DC19E2">
        <w:rPr>
          <w:rFonts w:cs="Arial"/>
          <w:szCs w:val="20"/>
        </w:rPr>
        <w:t xml:space="preserve"> část</w:t>
      </w:r>
      <w:r w:rsidR="007F7965">
        <w:rPr>
          <w:rFonts w:cs="Arial"/>
          <w:szCs w:val="20"/>
        </w:rPr>
        <w:t>i</w:t>
      </w:r>
      <w:r w:rsidRPr="00DC19E2">
        <w:rPr>
          <w:rFonts w:cs="Arial"/>
          <w:szCs w:val="20"/>
        </w:rPr>
        <w:t xml:space="preserve"> prostředků ESIF na opatření související s bojem proti současné krizi. </w:t>
      </w:r>
      <w:r w:rsidR="00D54122">
        <w:rPr>
          <w:rFonts w:cs="Arial"/>
          <w:szCs w:val="20"/>
        </w:rPr>
        <w:t>O</w:t>
      </w:r>
      <w:r w:rsidRPr="00DC19E2">
        <w:rPr>
          <w:rFonts w:cs="Arial"/>
          <w:szCs w:val="20"/>
        </w:rPr>
        <w:t xml:space="preserve">patření </w:t>
      </w:r>
      <w:r w:rsidR="00D54122">
        <w:rPr>
          <w:rFonts w:cs="Arial"/>
          <w:szCs w:val="20"/>
        </w:rPr>
        <w:t>s</w:t>
      </w:r>
      <w:r w:rsidRPr="00DC19E2">
        <w:rPr>
          <w:rFonts w:cs="Arial"/>
          <w:szCs w:val="20"/>
        </w:rPr>
        <w:t xml:space="preserve">e </w:t>
      </w:r>
      <w:r w:rsidR="00D54122">
        <w:rPr>
          <w:rFonts w:cs="Arial"/>
          <w:szCs w:val="20"/>
        </w:rPr>
        <w:t xml:space="preserve">zaměřuje </w:t>
      </w:r>
      <w:r w:rsidRPr="00DC19E2">
        <w:rPr>
          <w:rFonts w:cs="Arial"/>
          <w:szCs w:val="20"/>
        </w:rPr>
        <w:t xml:space="preserve">na tři priority: </w:t>
      </w:r>
    </w:p>
    <w:p w:rsidR="00532B59" w:rsidRPr="00DC19E2" w:rsidRDefault="00532B59" w:rsidP="0017146E">
      <w:pPr>
        <w:pStyle w:val="Odstavecseseznamem"/>
        <w:numPr>
          <w:ilvl w:val="0"/>
          <w:numId w:val="1"/>
        </w:numPr>
        <w:tabs>
          <w:tab w:val="left" w:pos="1418"/>
        </w:tabs>
        <w:spacing w:before="120" w:line="240" w:lineRule="auto"/>
        <w:ind w:left="284" w:hanging="284"/>
        <w:contextualSpacing w:val="0"/>
        <w:rPr>
          <w:szCs w:val="20"/>
        </w:rPr>
      </w:pPr>
      <w:r w:rsidRPr="00DC19E2">
        <w:rPr>
          <w:szCs w:val="20"/>
        </w:rPr>
        <w:t xml:space="preserve">výdaje na zdravotnictví související s koronavirem v kterékoli části členského státu (včetně nemocničních zařízení, inhalačních látek, masek); </w:t>
      </w:r>
    </w:p>
    <w:p w:rsidR="00532B59" w:rsidRPr="00DC19E2" w:rsidRDefault="00532B59" w:rsidP="0017146E">
      <w:pPr>
        <w:pStyle w:val="Odstavecseseznamem"/>
        <w:numPr>
          <w:ilvl w:val="0"/>
          <w:numId w:val="1"/>
        </w:numPr>
        <w:tabs>
          <w:tab w:val="left" w:pos="1418"/>
        </w:tabs>
        <w:spacing w:before="120" w:line="240" w:lineRule="auto"/>
        <w:ind w:left="284" w:hanging="284"/>
        <w:contextualSpacing w:val="0"/>
        <w:rPr>
          <w:szCs w:val="20"/>
        </w:rPr>
      </w:pPr>
      <w:r w:rsidRPr="00DC19E2">
        <w:rPr>
          <w:szCs w:val="20"/>
        </w:rPr>
        <w:t xml:space="preserve">podporu pracovního kapitálu malých a středních podniků; </w:t>
      </w:r>
    </w:p>
    <w:p w:rsidR="00532B59" w:rsidRPr="00DC19E2" w:rsidRDefault="00532B59" w:rsidP="0017146E">
      <w:pPr>
        <w:pStyle w:val="Odstavecseseznamem"/>
        <w:numPr>
          <w:ilvl w:val="0"/>
          <w:numId w:val="1"/>
        </w:numPr>
        <w:tabs>
          <w:tab w:val="left" w:pos="1418"/>
        </w:tabs>
        <w:spacing w:before="120" w:line="240" w:lineRule="auto"/>
        <w:ind w:left="284" w:hanging="284"/>
        <w:contextualSpacing w:val="0"/>
        <w:rPr>
          <w:szCs w:val="20"/>
        </w:rPr>
      </w:pPr>
      <w:r w:rsidRPr="00DC19E2">
        <w:rPr>
          <w:szCs w:val="20"/>
        </w:rPr>
        <w:t xml:space="preserve">systémy krátkodobého zaměstnávání. </w:t>
      </w:r>
    </w:p>
    <w:p w:rsidR="00532B59" w:rsidRPr="00DC19E2" w:rsidRDefault="00822489" w:rsidP="00412570">
      <w:pPr>
        <w:spacing w:before="120" w:line="240" w:lineRule="auto"/>
        <w:rPr>
          <w:rFonts w:cs="Arial"/>
          <w:szCs w:val="20"/>
        </w:rPr>
      </w:pPr>
      <w:r w:rsidRPr="00DC19E2">
        <w:rPr>
          <w:rFonts w:cs="Arial"/>
          <w:szCs w:val="20"/>
        </w:rPr>
        <w:t xml:space="preserve">Došlo </w:t>
      </w:r>
      <w:r w:rsidR="00AA039C">
        <w:rPr>
          <w:rFonts w:cs="Arial"/>
          <w:szCs w:val="20"/>
        </w:rPr>
        <w:t xml:space="preserve">také </w:t>
      </w:r>
      <w:r w:rsidRPr="00DC19E2">
        <w:rPr>
          <w:rFonts w:cs="Arial"/>
          <w:szCs w:val="20"/>
        </w:rPr>
        <w:t xml:space="preserve">ke zjednodušení podmínek pro implementaci ESIF, mezi které patří zejména možnost podpořit již ukončené projekty; možnost využití 100% míry spolufinancování </w:t>
      </w:r>
      <w:r w:rsidRPr="00DC19E2">
        <w:rPr>
          <w:szCs w:val="20"/>
        </w:rPr>
        <w:t>v období od 1. července 2020 do 30. června 2021; umožnění přesunu alokace 2020 mezi jednotlivými fondy a mezi kategoriemi regionů bez omezení; rozvolnění pravidel pro tematickou koncentraci; zjednodušení administrace finančních nástrojů; další administrativní změny.</w:t>
      </w:r>
      <w:r w:rsidRPr="00DC19E2">
        <w:rPr>
          <w:rFonts w:cs="Arial"/>
          <w:szCs w:val="20"/>
        </w:rPr>
        <w:t xml:space="preserve"> </w:t>
      </w:r>
      <w:r w:rsidR="00532B59" w:rsidRPr="00DC19E2">
        <w:rPr>
          <w:rFonts w:cs="Arial"/>
          <w:szCs w:val="20"/>
        </w:rPr>
        <w:t xml:space="preserve">Výdaje vynaložené v souvislosti s reakcí na koronavirovou nákazu jsou způsobilé od 1. února 2020. </w:t>
      </w:r>
    </w:p>
    <w:p w:rsidR="00AA039C" w:rsidRDefault="00AA039C" w:rsidP="00061214">
      <w:pPr>
        <w:rPr>
          <w:b/>
        </w:rPr>
      </w:pPr>
    </w:p>
    <w:p w:rsidR="002C1233" w:rsidRPr="002C1233" w:rsidRDefault="002C1233" w:rsidP="002C1233">
      <w:pPr>
        <w:pStyle w:val="Nadpis2"/>
        <w:ind w:left="0" w:hanging="9"/>
      </w:pPr>
      <w:r>
        <w:t xml:space="preserve">2.3 </w:t>
      </w:r>
      <w:r w:rsidR="00AA039C">
        <w:t xml:space="preserve">Využití upravených podmínek pro implementaci ESIF </w:t>
      </w:r>
      <w:r w:rsidR="00BD1AAA">
        <w:t>a návrh realokace mezi operačními programy</w:t>
      </w:r>
    </w:p>
    <w:p w:rsidR="00B06565" w:rsidRPr="00AA039C" w:rsidRDefault="00532B59" w:rsidP="00412570">
      <w:pPr>
        <w:spacing w:before="120" w:line="240" w:lineRule="auto"/>
        <w:rPr>
          <w:highlight w:val="yellow"/>
        </w:rPr>
      </w:pPr>
      <w:r w:rsidRPr="00AA039C">
        <w:t>S ohledem na výše u</w:t>
      </w:r>
      <w:r w:rsidR="00822489" w:rsidRPr="00AA039C">
        <w:t xml:space="preserve">vedené </w:t>
      </w:r>
      <w:r w:rsidR="00061214" w:rsidRPr="00AA039C">
        <w:t xml:space="preserve">rozšířené </w:t>
      </w:r>
      <w:r w:rsidR="00822489" w:rsidRPr="00AA039C">
        <w:t>možnosti</w:t>
      </w:r>
      <w:r w:rsidRPr="00AA039C">
        <w:t xml:space="preserve"> při využívání prostředků ESIF </w:t>
      </w:r>
      <w:r w:rsidR="00061214" w:rsidRPr="00AA039C">
        <w:t>navrhla</w:t>
      </w:r>
      <w:r w:rsidRPr="00AA039C">
        <w:t xml:space="preserve"> </w:t>
      </w:r>
      <w:r w:rsidR="00822489" w:rsidRPr="00AA039C">
        <w:t>ČR</w:t>
      </w:r>
      <w:r w:rsidRPr="00AA039C">
        <w:t xml:space="preserve"> </w:t>
      </w:r>
      <w:r w:rsidR="00061214" w:rsidRPr="00AA039C">
        <w:t xml:space="preserve">změny programů, jejichž cílem je </w:t>
      </w:r>
      <w:r w:rsidRPr="00AA039C">
        <w:t>zmírnit dopady krize COVID-19.</w:t>
      </w:r>
      <w:r w:rsidR="00061214" w:rsidRPr="00AA039C">
        <w:t xml:space="preserve"> </w:t>
      </w:r>
    </w:p>
    <w:p w:rsidR="00061214" w:rsidRDefault="00330288" w:rsidP="00412570">
      <w:pPr>
        <w:spacing w:before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Součástí opatření na boj s pandemií </w:t>
      </w:r>
      <w:r w:rsidR="00061214" w:rsidRPr="00DC19E2">
        <w:rPr>
          <w:rFonts w:cs="Arial"/>
          <w:szCs w:val="20"/>
        </w:rPr>
        <w:t>COVID-19 vyhlásilo Ministerstvo práce a sociálních věcí ČR</w:t>
      </w:r>
      <w:r w:rsidR="004C26CE">
        <w:rPr>
          <w:rFonts w:cs="Arial"/>
          <w:szCs w:val="20"/>
        </w:rPr>
        <w:t xml:space="preserve"> (MPSV)</w:t>
      </w:r>
      <w:r w:rsidR="00061214" w:rsidRPr="00DC19E2">
        <w:rPr>
          <w:rFonts w:cs="Arial"/>
          <w:szCs w:val="20"/>
        </w:rPr>
        <w:t xml:space="preserve"> program </w:t>
      </w:r>
      <w:r w:rsidR="00061214" w:rsidRPr="004C26CE">
        <w:rPr>
          <w:rFonts w:cs="Arial"/>
          <w:b/>
          <w:szCs w:val="20"/>
        </w:rPr>
        <w:t>Antivirus A</w:t>
      </w:r>
      <w:r w:rsidR="00061214" w:rsidRPr="00DC19E2">
        <w:rPr>
          <w:rFonts w:cs="Arial"/>
          <w:szCs w:val="20"/>
        </w:rPr>
        <w:t xml:space="preserve">, který je určen na kompenzaci mzdových nákladů zaměstnavatelům, kteří museli svým zaměstnancům nařídit karanténu nebo částečně či úplně omezit svůj provoz. </w:t>
      </w:r>
      <w:r w:rsidR="00AA039C">
        <w:rPr>
          <w:rFonts w:cs="Arial"/>
          <w:szCs w:val="20"/>
        </w:rPr>
        <w:t xml:space="preserve">Program byl financován ze státního rozpočtu. </w:t>
      </w:r>
      <w:r w:rsidR="005E2542">
        <w:rPr>
          <w:rFonts w:cs="Arial"/>
          <w:szCs w:val="20"/>
        </w:rPr>
        <w:t xml:space="preserve">MPSV dále vyhlásilo </w:t>
      </w:r>
      <w:r w:rsidR="004C26CE">
        <w:rPr>
          <w:rFonts w:cs="Arial"/>
          <w:szCs w:val="20"/>
        </w:rPr>
        <w:t>program na podporu zaměstnanců ohrožených propouštěním</w:t>
      </w:r>
      <w:r w:rsidR="005E2542">
        <w:rPr>
          <w:rFonts w:cs="Arial"/>
          <w:szCs w:val="20"/>
        </w:rPr>
        <w:t xml:space="preserve"> – </w:t>
      </w:r>
      <w:r w:rsidR="005969A6">
        <w:rPr>
          <w:rFonts w:cs="Arial"/>
          <w:szCs w:val="20"/>
        </w:rPr>
        <w:t>projektu</w:t>
      </w:r>
      <w:r w:rsidR="005E2542">
        <w:rPr>
          <w:rFonts w:cs="Arial"/>
          <w:szCs w:val="20"/>
        </w:rPr>
        <w:t xml:space="preserve"> </w:t>
      </w:r>
      <w:r w:rsidR="005969A6">
        <w:rPr>
          <w:rFonts w:cs="Arial"/>
          <w:szCs w:val="20"/>
        </w:rPr>
        <w:t>“OUTPLACEMENT (OUT)“</w:t>
      </w:r>
      <w:r w:rsidR="005E2542">
        <w:rPr>
          <w:rStyle w:val="Znakapoznpodarou"/>
          <w:rFonts w:cs="Arial"/>
          <w:b/>
          <w:szCs w:val="20"/>
        </w:rPr>
        <w:footnoteReference w:id="7"/>
      </w:r>
      <w:r w:rsidR="005E2542">
        <w:rPr>
          <w:rFonts w:cs="Arial"/>
          <w:szCs w:val="20"/>
        </w:rPr>
        <w:t>.</w:t>
      </w:r>
    </w:p>
    <w:p w:rsidR="00BD1AAA" w:rsidRDefault="004C26CE" w:rsidP="00412570">
      <w:pPr>
        <w:spacing w:before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MMR-NOK</w:t>
      </w:r>
      <w:r w:rsidR="00AA039C" w:rsidRPr="004C26CE">
        <w:rPr>
          <w:rFonts w:cs="Arial"/>
          <w:b/>
          <w:szCs w:val="20"/>
        </w:rPr>
        <w:t xml:space="preserve"> navrhuje využít upravených podmínek EU pro implementaci ESIF a zpětně financovat část výdajů </w:t>
      </w:r>
      <w:r w:rsidR="005E2542">
        <w:rPr>
          <w:rFonts w:cs="Arial"/>
          <w:b/>
          <w:szCs w:val="20"/>
        </w:rPr>
        <w:t xml:space="preserve">státního rozpočtu </w:t>
      </w:r>
      <w:r w:rsidR="00AA039C" w:rsidRPr="004C26CE">
        <w:rPr>
          <w:rFonts w:cs="Arial"/>
          <w:b/>
          <w:szCs w:val="20"/>
        </w:rPr>
        <w:t>vynaložených v programu Antivirus (režim A) z ESIF a případně také podpořit zaměstnance ohrožené propouštěním (aktivity typu</w:t>
      </w:r>
      <w:r>
        <w:rPr>
          <w:rFonts w:cs="Arial"/>
          <w:b/>
          <w:szCs w:val="20"/>
        </w:rPr>
        <w:t xml:space="preserve"> „outplacement“). </w:t>
      </w:r>
      <w:r w:rsidR="00857863">
        <w:rPr>
          <w:rFonts w:cs="Arial"/>
          <w:b/>
          <w:szCs w:val="20"/>
        </w:rPr>
        <w:t>Tím uspokojit urgentní potřebu MPSV na financování těchto opatření.</w:t>
      </w:r>
    </w:p>
    <w:p w:rsidR="00BD1AAA" w:rsidRDefault="00BD1AAA" w:rsidP="00412570">
      <w:pPr>
        <w:spacing w:before="120" w:line="240" w:lineRule="auto"/>
        <w:rPr>
          <w:rFonts w:cs="Arial"/>
          <w:b/>
          <w:szCs w:val="20"/>
        </w:rPr>
      </w:pPr>
      <w:r w:rsidRPr="00BD1AAA">
        <w:rPr>
          <w:rFonts w:cs="Arial"/>
          <w:szCs w:val="20"/>
        </w:rPr>
        <w:t>Vzhledem k tomu, že</w:t>
      </w:r>
      <w:r>
        <w:rPr>
          <w:rFonts w:cs="Arial"/>
          <w:b/>
          <w:szCs w:val="20"/>
        </w:rPr>
        <w:t xml:space="preserve"> v programu OP </w:t>
      </w:r>
      <w:r w:rsidRPr="00F43A5A">
        <w:rPr>
          <w:rFonts w:cs="Arial"/>
          <w:b/>
          <w:szCs w:val="20"/>
        </w:rPr>
        <w:t>Zaměstnanost jsou již prostředky vyčerpány,</w:t>
      </w:r>
      <w:r>
        <w:rPr>
          <w:rFonts w:cs="Arial"/>
          <w:b/>
          <w:szCs w:val="20"/>
        </w:rPr>
        <w:t xml:space="preserve"> MMR-NOK navrhuje převést do</w:t>
      </w:r>
      <w:r w:rsidR="00951370">
        <w:rPr>
          <w:rFonts w:cs="Arial"/>
          <w:b/>
          <w:szCs w:val="20"/>
        </w:rPr>
        <w:t xml:space="preserve"> Evropského sociálního fondu do</w:t>
      </w:r>
      <w:r>
        <w:rPr>
          <w:rFonts w:cs="Arial"/>
          <w:b/>
          <w:szCs w:val="20"/>
        </w:rPr>
        <w:t xml:space="preserve"> OP Z disponibilní alokaci</w:t>
      </w:r>
      <w:r w:rsidR="00951370">
        <w:rPr>
          <w:rFonts w:cs="Arial"/>
          <w:b/>
          <w:szCs w:val="20"/>
        </w:rPr>
        <w:t xml:space="preserve"> Evropského fondu pro regionální rozvoj</w:t>
      </w:r>
      <w:r>
        <w:rPr>
          <w:rFonts w:cs="Arial"/>
          <w:b/>
          <w:szCs w:val="20"/>
        </w:rPr>
        <w:t xml:space="preserve"> z OP Podnikání a inovace pro konkurenceschopnost (OP PIK). </w:t>
      </w:r>
    </w:p>
    <w:p w:rsidR="00BD1AAA" w:rsidRDefault="00BD1AAA" w:rsidP="00BD1AAA">
      <w:pPr>
        <w:rPr>
          <w:b/>
        </w:rPr>
      </w:pPr>
    </w:p>
    <w:p w:rsidR="002C1233" w:rsidRPr="002C1233" w:rsidRDefault="002C1233" w:rsidP="002C1233">
      <w:pPr>
        <w:pStyle w:val="Nadpis2"/>
        <w:ind w:left="0" w:hanging="9"/>
      </w:pPr>
      <w:r>
        <w:t xml:space="preserve">2.4 </w:t>
      </w:r>
      <w:r w:rsidR="00BD1AAA">
        <w:t xml:space="preserve">Návrh realokace prostředků ESIF z OP PIK do OP Z na financování programu Antivirus </w:t>
      </w:r>
    </w:p>
    <w:p w:rsidR="00BD1AAA" w:rsidRPr="00FE62D1" w:rsidRDefault="00FE62D1" w:rsidP="00412570">
      <w:pPr>
        <w:spacing w:before="120" w:line="240" w:lineRule="auto"/>
      </w:pPr>
      <w:r>
        <w:rPr>
          <w:b/>
        </w:rPr>
        <w:t>Na základě aktuálního vyčíslení řídicím orgánem OP PIK je v</w:t>
      </w:r>
      <w:r w:rsidRPr="00FE62D1">
        <w:rPr>
          <w:b/>
        </w:rPr>
        <w:t xml:space="preserve"> rámci </w:t>
      </w:r>
      <w:r>
        <w:rPr>
          <w:b/>
        </w:rPr>
        <w:t>OP PIK</w:t>
      </w:r>
      <w:r w:rsidRPr="00FE62D1">
        <w:rPr>
          <w:b/>
        </w:rPr>
        <w:t xml:space="preserve"> k 30. 6. 2020 evidována disponibilní alokace ve výši </w:t>
      </w:r>
      <w:r w:rsidR="00630ED1">
        <w:rPr>
          <w:b/>
        </w:rPr>
        <w:t>240</w:t>
      </w:r>
      <w:r w:rsidRPr="00FE62D1">
        <w:rPr>
          <w:b/>
        </w:rPr>
        <w:t>,4</w:t>
      </w:r>
      <w:r w:rsidR="00630ED1">
        <w:rPr>
          <w:b/>
        </w:rPr>
        <w:t>21 mil</w:t>
      </w:r>
      <w:r w:rsidRPr="00FE62D1">
        <w:rPr>
          <w:b/>
        </w:rPr>
        <w:t xml:space="preserve">. </w:t>
      </w:r>
      <w:r w:rsidR="00630ED1">
        <w:rPr>
          <w:b/>
        </w:rPr>
        <w:t>EUR</w:t>
      </w:r>
      <w:r w:rsidRPr="00FE62D1">
        <w:rPr>
          <w:b/>
        </w:rPr>
        <w:t xml:space="preserve">. </w:t>
      </w:r>
      <w:r w:rsidRPr="00FE62D1">
        <w:t>Tato alokace zahrnuje disponibil</w:t>
      </w:r>
      <w:r>
        <w:t xml:space="preserve">ní prostředky napříč programem, tj. </w:t>
      </w:r>
      <w:r w:rsidR="00A71312">
        <w:t>ze všech čtyř</w:t>
      </w:r>
      <w:r>
        <w:t xml:space="preserve"> prioritních os.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1134"/>
        <w:gridCol w:w="1417"/>
      </w:tblGrid>
      <w:tr w:rsidR="00630ED1" w:rsidRPr="00F274B0" w:rsidTr="002143D8">
        <w:trPr>
          <w:trHeight w:val="308"/>
        </w:trPr>
        <w:tc>
          <w:tcPr>
            <w:tcW w:w="5245" w:type="dxa"/>
            <w:shd w:val="clear" w:color="auto" w:fill="BDD6EE" w:themeFill="accent1" w:themeFillTint="66"/>
          </w:tcPr>
          <w:p w:rsidR="00630ED1" w:rsidRPr="00F274B0" w:rsidRDefault="00630ED1" w:rsidP="00C54614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74B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Prioritní osa OP PIK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hideMark/>
          </w:tcPr>
          <w:p w:rsidR="00630ED1" w:rsidRPr="00F274B0" w:rsidRDefault="00630ED1" w:rsidP="00630ED1">
            <w:pPr>
              <w:spacing w:before="40" w:after="4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74B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Částka k realokaci dle prioritních os </w:t>
            </w:r>
          </w:p>
          <w:p w:rsidR="00630ED1" w:rsidRPr="00F274B0" w:rsidRDefault="00630ED1" w:rsidP="00C54614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74B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(mil. EUR)</w:t>
            </w:r>
          </w:p>
          <w:p w:rsidR="00630ED1" w:rsidRPr="00F274B0" w:rsidRDefault="00630ED1" w:rsidP="00C54614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630ED1" w:rsidRPr="00F274B0" w:rsidRDefault="00630ED1" w:rsidP="00C54614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74B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Částka k realokaci za celý OP  </w:t>
            </w:r>
          </w:p>
          <w:p w:rsidR="00630ED1" w:rsidRPr="00F274B0" w:rsidRDefault="00630ED1" w:rsidP="00630ED1">
            <w:pPr>
              <w:spacing w:before="40" w:after="4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74B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(mil. EUR)</w:t>
            </w:r>
          </w:p>
          <w:p w:rsidR="00630ED1" w:rsidRPr="00F274B0" w:rsidRDefault="00630ED1" w:rsidP="00C54614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30ED1" w:rsidRPr="00F274B0" w:rsidRDefault="00630ED1" w:rsidP="00630ED1">
            <w:pPr>
              <w:spacing w:before="40" w:after="4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74B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Realokovaná částka CELKEM</w:t>
            </w:r>
          </w:p>
          <w:p w:rsidR="00630ED1" w:rsidRPr="00F274B0" w:rsidRDefault="00630ED1" w:rsidP="00C54614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74B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(mld</w:t>
            </w:r>
            <w:r w:rsidR="00EE1EEF" w:rsidRPr="00F274B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 CZK</w:t>
            </w:r>
            <w:r w:rsidRPr="00F274B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630ED1" w:rsidRPr="00F274B0" w:rsidRDefault="00630ED1" w:rsidP="002143D8">
            <w:pPr>
              <w:spacing w:before="40" w:after="4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274B0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kurz </w:t>
            </w:r>
            <w:r w:rsidRPr="00F274B0">
              <w:rPr>
                <w:rFonts w:eastAsia="Times New Roman"/>
                <w:bCs/>
                <w:color w:val="000000"/>
                <w:sz w:val="18"/>
                <w:szCs w:val="18"/>
              </w:rPr>
              <w:br/>
              <w:t>1 EUR = 26,848 CZK</w:t>
            </w:r>
          </w:p>
        </w:tc>
      </w:tr>
      <w:tr w:rsidR="00F274B0" w:rsidRPr="007F3101" w:rsidTr="002143D8">
        <w:trPr>
          <w:trHeight w:val="388"/>
        </w:trPr>
        <w:tc>
          <w:tcPr>
            <w:tcW w:w="5245" w:type="dxa"/>
            <w:shd w:val="clear" w:color="auto" w:fill="auto"/>
          </w:tcPr>
          <w:p w:rsidR="00630ED1" w:rsidRPr="007F3101" w:rsidRDefault="00630ED1" w:rsidP="00630ED1">
            <w:pPr>
              <w:spacing w:before="40" w:after="4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F3101">
              <w:rPr>
                <w:rFonts w:eastAsia="Times New Roman"/>
                <w:bCs/>
                <w:color w:val="000000"/>
                <w:sz w:val="18"/>
                <w:szCs w:val="18"/>
              </w:rPr>
              <w:t>1 Rozvoj výzkumu a vývoje pro inovace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3101">
              <w:rPr>
                <w:rFonts w:eastAsia="Times New Roman"/>
                <w:color w:val="000000"/>
                <w:sz w:val="18"/>
                <w:szCs w:val="18"/>
              </w:rPr>
              <w:t>74,953</w:t>
            </w:r>
          </w:p>
        </w:tc>
        <w:tc>
          <w:tcPr>
            <w:tcW w:w="1134" w:type="dxa"/>
            <w:vMerge w:val="restart"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F3101">
              <w:rPr>
                <w:rFonts w:eastAsia="Times New Roman"/>
                <w:bCs/>
                <w:color w:val="000000"/>
                <w:sz w:val="18"/>
                <w:szCs w:val="18"/>
              </w:rPr>
              <w:t>240,421</w:t>
            </w:r>
          </w:p>
        </w:tc>
        <w:tc>
          <w:tcPr>
            <w:tcW w:w="1417" w:type="dxa"/>
            <w:vMerge w:val="restart"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F3101">
              <w:rPr>
                <w:rFonts w:eastAsia="Times New Roman"/>
                <w:bCs/>
                <w:color w:val="000000"/>
                <w:sz w:val="18"/>
                <w:szCs w:val="18"/>
              </w:rPr>
              <w:t>6,454</w:t>
            </w:r>
          </w:p>
        </w:tc>
      </w:tr>
      <w:tr w:rsidR="00F274B0" w:rsidRPr="007F3101" w:rsidTr="002143D8">
        <w:trPr>
          <w:trHeight w:val="422"/>
        </w:trPr>
        <w:tc>
          <w:tcPr>
            <w:tcW w:w="5245" w:type="dxa"/>
            <w:shd w:val="clear" w:color="auto" w:fill="auto"/>
          </w:tcPr>
          <w:p w:rsidR="00630ED1" w:rsidRPr="007F3101" w:rsidRDefault="00630ED1" w:rsidP="00630ED1">
            <w:pPr>
              <w:spacing w:before="40" w:after="4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F3101">
              <w:rPr>
                <w:rFonts w:eastAsia="Times New Roman"/>
                <w:bCs/>
                <w:color w:val="000000"/>
                <w:sz w:val="18"/>
                <w:szCs w:val="18"/>
              </w:rPr>
              <w:t>2 Rozvoj podnikání a konkurenceschopnosti MSP</w:t>
            </w:r>
          </w:p>
        </w:tc>
        <w:tc>
          <w:tcPr>
            <w:tcW w:w="1276" w:type="dxa"/>
            <w:shd w:val="clear" w:color="auto" w:fill="auto"/>
            <w:noWrap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3101">
              <w:rPr>
                <w:rFonts w:eastAsia="Times New Roman"/>
                <w:color w:val="000000"/>
                <w:sz w:val="18"/>
                <w:szCs w:val="18"/>
              </w:rPr>
              <w:t>66,911</w:t>
            </w:r>
          </w:p>
        </w:tc>
        <w:tc>
          <w:tcPr>
            <w:tcW w:w="1134" w:type="dxa"/>
            <w:vMerge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F274B0" w:rsidRPr="007F3101" w:rsidTr="002143D8">
        <w:trPr>
          <w:trHeight w:val="370"/>
        </w:trPr>
        <w:tc>
          <w:tcPr>
            <w:tcW w:w="5245" w:type="dxa"/>
            <w:shd w:val="clear" w:color="auto" w:fill="auto"/>
          </w:tcPr>
          <w:p w:rsidR="00630ED1" w:rsidRPr="007F3101" w:rsidRDefault="00630ED1" w:rsidP="00630ED1">
            <w:pPr>
              <w:spacing w:before="40" w:after="4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F3101">
              <w:rPr>
                <w:rFonts w:eastAsia="Times New Roman"/>
                <w:bCs/>
                <w:color w:val="000000"/>
                <w:sz w:val="18"/>
                <w:szCs w:val="18"/>
              </w:rPr>
              <w:t>3 Účinné nakládání energií</w:t>
            </w:r>
            <w:r w:rsidR="006A3666" w:rsidRPr="007F3101">
              <w:rPr>
                <w:rFonts w:eastAsia="Times New Roman"/>
                <w:bCs/>
                <w:color w:val="000000"/>
                <w:sz w:val="18"/>
                <w:szCs w:val="18"/>
              </w:rPr>
              <w:t>, rozvoj energ. Infrastruktury a OZE</w:t>
            </w:r>
          </w:p>
        </w:tc>
        <w:tc>
          <w:tcPr>
            <w:tcW w:w="1276" w:type="dxa"/>
            <w:shd w:val="clear" w:color="auto" w:fill="auto"/>
            <w:noWrap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3101">
              <w:rPr>
                <w:rFonts w:eastAsia="Times New Roman"/>
                <w:color w:val="000000"/>
                <w:sz w:val="18"/>
                <w:szCs w:val="18"/>
              </w:rPr>
              <w:t>41,557</w:t>
            </w:r>
          </w:p>
        </w:tc>
        <w:tc>
          <w:tcPr>
            <w:tcW w:w="1134" w:type="dxa"/>
            <w:vMerge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630ED1" w:rsidRPr="007F3101" w:rsidTr="002143D8">
        <w:trPr>
          <w:trHeight w:val="418"/>
        </w:trPr>
        <w:tc>
          <w:tcPr>
            <w:tcW w:w="5245" w:type="dxa"/>
            <w:shd w:val="clear" w:color="auto" w:fill="auto"/>
          </w:tcPr>
          <w:p w:rsidR="00630ED1" w:rsidRPr="007F3101" w:rsidRDefault="00630ED1" w:rsidP="00630ED1">
            <w:pPr>
              <w:spacing w:before="40" w:after="4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F3101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4 Rozvoj vysokorychlostních přístupových sítí k internetu a ICT </w:t>
            </w:r>
          </w:p>
        </w:tc>
        <w:tc>
          <w:tcPr>
            <w:tcW w:w="1276" w:type="dxa"/>
            <w:shd w:val="clear" w:color="auto" w:fill="auto"/>
            <w:noWrap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3101"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34" w:type="dxa"/>
            <w:vMerge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0ED1" w:rsidRPr="007F3101" w:rsidRDefault="00630ED1" w:rsidP="00C54614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6395F" w:rsidRPr="007F3101" w:rsidRDefault="00C6395F" w:rsidP="0057629F">
      <w:pPr>
        <w:rPr>
          <w:rFonts w:cs="Arial"/>
          <w:sz w:val="18"/>
          <w:szCs w:val="18"/>
        </w:rPr>
      </w:pPr>
    </w:p>
    <w:p w:rsidR="0057629F" w:rsidRDefault="00FE62D1" w:rsidP="00412570">
      <w:pPr>
        <w:spacing w:before="120" w:line="240" w:lineRule="auto"/>
        <w:rPr>
          <w:rFonts w:cs="Arial"/>
          <w:szCs w:val="20"/>
        </w:rPr>
      </w:pPr>
      <w:r w:rsidRPr="00FE62D1">
        <w:rPr>
          <w:rFonts w:cs="Arial"/>
          <w:b/>
          <w:szCs w:val="20"/>
        </w:rPr>
        <w:t xml:space="preserve">Převedené prostředky ve výši </w:t>
      </w:r>
      <w:r w:rsidR="00630ED1">
        <w:rPr>
          <w:rFonts w:cs="Arial"/>
          <w:b/>
          <w:szCs w:val="20"/>
        </w:rPr>
        <w:t>240,421 mil</w:t>
      </w:r>
      <w:r w:rsidRPr="00FE62D1">
        <w:rPr>
          <w:rFonts w:cs="Arial"/>
          <w:b/>
          <w:szCs w:val="20"/>
        </w:rPr>
        <w:t xml:space="preserve">. </w:t>
      </w:r>
      <w:r w:rsidR="00630ED1">
        <w:rPr>
          <w:rFonts w:cs="Arial"/>
          <w:b/>
          <w:szCs w:val="20"/>
        </w:rPr>
        <w:t>EUR</w:t>
      </w:r>
      <w:r w:rsidRPr="00FE62D1">
        <w:rPr>
          <w:rFonts w:cs="Arial"/>
          <w:b/>
          <w:szCs w:val="20"/>
        </w:rPr>
        <w:t xml:space="preserve"> z OP PIK budou v OP Z využity v rámci investiční priority zaměřené na cílovou skupinu zaměstnanci, tj. v 1.3 </w:t>
      </w:r>
      <w:r w:rsidR="0057629F" w:rsidRPr="00FE62D1">
        <w:rPr>
          <w:rFonts w:cs="Arial"/>
          <w:b/>
          <w:i/>
          <w:iCs/>
          <w:szCs w:val="20"/>
        </w:rPr>
        <w:t xml:space="preserve">Pomoc pracovníkům, podnikům </w:t>
      </w:r>
      <w:r w:rsidR="00B75F8B">
        <w:rPr>
          <w:rFonts w:cs="Arial"/>
          <w:b/>
          <w:i/>
          <w:iCs/>
          <w:szCs w:val="20"/>
        </w:rPr>
        <w:br/>
      </w:r>
      <w:r w:rsidR="0057629F" w:rsidRPr="00FE62D1">
        <w:rPr>
          <w:rFonts w:cs="Arial"/>
          <w:b/>
          <w:i/>
          <w:iCs/>
          <w:szCs w:val="20"/>
        </w:rPr>
        <w:t>a podnikatelům přizpůsobovat se změnám</w:t>
      </w:r>
      <w:r w:rsidR="0057629F" w:rsidRPr="00FE62D1">
        <w:rPr>
          <w:rFonts w:cs="Arial"/>
          <w:b/>
          <w:szCs w:val="20"/>
        </w:rPr>
        <w:t>.</w:t>
      </w:r>
      <w:r w:rsidR="0057629F">
        <w:rPr>
          <w:rFonts w:cs="Arial"/>
          <w:szCs w:val="20"/>
        </w:rPr>
        <w:t xml:space="preserve"> V rámci této priority jsou výzvy obvykle vyhlašovány napříč oběma specifickými cíli</w:t>
      </w:r>
      <w:r>
        <w:rPr>
          <w:rFonts w:cs="Arial"/>
          <w:szCs w:val="20"/>
        </w:rPr>
        <w:t xml:space="preserve"> (SC)</w:t>
      </w:r>
      <w:r w:rsidR="0057629F">
        <w:rPr>
          <w:rFonts w:cs="Arial"/>
          <w:szCs w:val="20"/>
        </w:rPr>
        <w:t xml:space="preserve">, tj. SC 1.3.1 </w:t>
      </w:r>
      <w:r w:rsidR="0057629F">
        <w:rPr>
          <w:rFonts w:cs="Arial"/>
          <w:i/>
          <w:iCs/>
          <w:szCs w:val="20"/>
        </w:rPr>
        <w:t>Zvýšit odbornou úroveň znalostí, dovedností a kompetencí pracovníků a soulad kvalifikační úrovně pracovní síly s požadavky trhu práce</w:t>
      </w:r>
      <w:r w:rsidR="0057629F">
        <w:rPr>
          <w:rFonts w:cs="Arial"/>
          <w:szCs w:val="20"/>
        </w:rPr>
        <w:t xml:space="preserve"> a SC 1.3.2 </w:t>
      </w:r>
      <w:r w:rsidR="0057629F">
        <w:rPr>
          <w:rFonts w:cs="Arial"/>
          <w:i/>
          <w:iCs/>
          <w:szCs w:val="20"/>
        </w:rPr>
        <w:t>Zvýšit adaptabilitu starších pracovníků</w:t>
      </w:r>
      <w:r w:rsidR="0057629F">
        <w:rPr>
          <w:rFonts w:cs="Arial"/>
          <w:szCs w:val="20"/>
        </w:rPr>
        <w:t>. Tento přístup, tj. využití obou</w:t>
      </w:r>
      <w:r>
        <w:rPr>
          <w:rFonts w:cs="Arial"/>
          <w:szCs w:val="20"/>
        </w:rPr>
        <w:t xml:space="preserve"> specifických cílů předpokládá řídicí orgány OP Z</w:t>
      </w:r>
      <w:r w:rsidR="0057629F">
        <w:rPr>
          <w:rFonts w:cs="Arial"/>
          <w:szCs w:val="20"/>
        </w:rPr>
        <w:t xml:space="preserve"> rovněž v případě realokovaných prostředků. Vzhledem k tomu, že program Antivirus je realizován na celém území ČR včetně hl. m. Prahy, budou realokované prostředky v</w:t>
      </w:r>
      <w:r>
        <w:rPr>
          <w:rFonts w:cs="Arial"/>
          <w:szCs w:val="20"/>
        </w:rPr>
        <w:t> </w:t>
      </w:r>
      <w:r w:rsidR="0057629F">
        <w:rPr>
          <w:rFonts w:cs="Arial"/>
          <w:szCs w:val="20"/>
        </w:rPr>
        <w:t>OP</w:t>
      </w:r>
      <w:r>
        <w:rPr>
          <w:rFonts w:cs="Arial"/>
          <w:szCs w:val="20"/>
        </w:rPr>
        <w:t xml:space="preserve"> </w:t>
      </w:r>
      <w:r w:rsidR="0057629F">
        <w:rPr>
          <w:rFonts w:cs="Arial"/>
          <w:szCs w:val="20"/>
        </w:rPr>
        <w:t xml:space="preserve">Z </w:t>
      </w:r>
      <w:r w:rsidR="0071343A">
        <w:rPr>
          <w:rFonts w:cs="Arial"/>
          <w:szCs w:val="20"/>
        </w:rPr>
        <w:t>využity</w:t>
      </w:r>
      <w:r w:rsidR="0057629F">
        <w:rPr>
          <w:rFonts w:cs="Arial"/>
          <w:szCs w:val="20"/>
        </w:rPr>
        <w:t xml:space="preserve"> v obou kategoriích regionů. </w:t>
      </w:r>
    </w:p>
    <w:p w:rsidR="00FB36D1" w:rsidRDefault="00FB36D1" w:rsidP="00C9187F">
      <w:pPr>
        <w:spacing w:line="276" w:lineRule="auto"/>
      </w:pPr>
    </w:p>
    <w:p w:rsidR="005A590E" w:rsidRDefault="00860242" w:rsidP="00FC3A7F">
      <w:pPr>
        <w:pStyle w:val="Nadpis3"/>
      </w:pPr>
      <w:r w:rsidRPr="00B66C5C">
        <w:t>Shrnutí n</w:t>
      </w:r>
      <w:r w:rsidR="00AC3DFF" w:rsidRPr="00B66C5C">
        <w:t>ávrhu využití disponibilních prostředků ESIF</w:t>
      </w:r>
      <w:r w:rsidRPr="00B66C5C"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559"/>
        <w:gridCol w:w="1134"/>
        <w:gridCol w:w="1701"/>
      </w:tblGrid>
      <w:tr w:rsidR="007F3101" w:rsidRPr="00F274B0" w:rsidTr="00D5216C">
        <w:trPr>
          <w:trHeight w:val="308"/>
        </w:trPr>
        <w:tc>
          <w:tcPr>
            <w:tcW w:w="1134" w:type="dxa"/>
            <w:shd w:val="clear" w:color="auto" w:fill="BDD6EE" w:themeFill="accent1" w:themeFillTint="66"/>
            <w:noWrap/>
            <w:hideMark/>
          </w:tcPr>
          <w:p w:rsidR="007F3101" w:rsidRPr="00D5216C" w:rsidRDefault="007F3101" w:rsidP="00C54614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21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Z operačního programu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7F3101" w:rsidRPr="00D5216C" w:rsidRDefault="007F3101" w:rsidP="00C54614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21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Prioritní osa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F3101" w:rsidRPr="00D5216C" w:rsidRDefault="007F3101" w:rsidP="00D5216C">
            <w:pPr>
              <w:spacing w:before="40" w:after="4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21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Realokovaná částka za celý OP </w:t>
            </w:r>
          </w:p>
          <w:p w:rsidR="007F3101" w:rsidRPr="00D5216C" w:rsidRDefault="007F3101" w:rsidP="0064342E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21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(mil. EUR)</w:t>
            </w:r>
          </w:p>
          <w:p w:rsidR="007F3101" w:rsidRPr="00D5216C" w:rsidRDefault="007F3101" w:rsidP="00964E5F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7F3101" w:rsidRPr="00D5216C" w:rsidRDefault="007F3101" w:rsidP="00964E5F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21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Realokovaná částka CELKEM</w:t>
            </w:r>
          </w:p>
          <w:p w:rsidR="007F3101" w:rsidRPr="00D5216C" w:rsidRDefault="007F3101" w:rsidP="00964E5F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21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(mld. CZK)</w:t>
            </w:r>
          </w:p>
          <w:p w:rsidR="007F3101" w:rsidRPr="00D5216C" w:rsidRDefault="007F3101" w:rsidP="00D5216C">
            <w:pPr>
              <w:spacing w:before="40" w:after="4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5216C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kurz </w:t>
            </w:r>
            <w:r w:rsidRPr="00D5216C">
              <w:rPr>
                <w:rFonts w:eastAsia="Times New Roman"/>
                <w:bCs/>
                <w:color w:val="000000"/>
                <w:sz w:val="18"/>
                <w:szCs w:val="18"/>
              </w:rPr>
              <w:br/>
              <w:t>1 EUR = 26,848 CZK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hideMark/>
          </w:tcPr>
          <w:p w:rsidR="007F3101" w:rsidRPr="00D5216C" w:rsidRDefault="007F3101" w:rsidP="00C54614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21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Pr="00D521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operačního programu</w:t>
            </w:r>
          </w:p>
        </w:tc>
        <w:tc>
          <w:tcPr>
            <w:tcW w:w="1701" w:type="dxa"/>
            <w:shd w:val="clear" w:color="auto" w:fill="FFE599" w:themeFill="accent4" w:themeFillTint="66"/>
            <w:noWrap/>
            <w:hideMark/>
          </w:tcPr>
          <w:p w:rsidR="007F3101" w:rsidRPr="00D5216C" w:rsidRDefault="007F3101" w:rsidP="00C54614">
            <w:pPr>
              <w:spacing w:before="40" w:after="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216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Investiční priorita</w:t>
            </w:r>
          </w:p>
        </w:tc>
      </w:tr>
      <w:tr w:rsidR="007F3101" w:rsidRPr="00F274B0" w:rsidTr="00D5216C">
        <w:trPr>
          <w:trHeight w:val="694"/>
        </w:trPr>
        <w:tc>
          <w:tcPr>
            <w:tcW w:w="1134" w:type="dxa"/>
            <w:shd w:val="clear" w:color="auto" w:fill="auto"/>
            <w:noWrap/>
            <w:hideMark/>
          </w:tcPr>
          <w:p w:rsidR="007F3101" w:rsidRPr="00D5216C" w:rsidRDefault="007F3101" w:rsidP="00C54614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D5216C">
              <w:rPr>
                <w:rFonts w:eastAsia="Times New Roman"/>
                <w:b/>
                <w:bCs/>
                <w:color w:val="000000"/>
                <w:szCs w:val="20"/>
              </w:rPr>
              <w:t xml:space="preserve">OP PIK </w:t>
            </w:r>
          </w:p>
        </w:tc>
        <w:tc>
          <w:tcPr>
            <w:tcW w:w="1560" w:type="dxa"/>
            <w:shd w:val="clear" w:color="auto" w:fill="auto"/>
          </w:tcPr>
          <w:p w:rsidR="007F3101" w:rsidRPr="00D5216C" w:rsidRDefault="007F3101" w:rsidP="00282CCA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D5216C">
              <w:rPr>
                <w:rFonts w:eastAsia="Times New Roman"/>
                <w:bCs/>
                <w:color w:val="000000"/>
                <w:szCs w:val="20"/>
              </w:rPr>
              <w:t>1 až 4</w:t>
            </w:r>
          </w:p>
        </w:tc>
        <w:tc>
          <w:tcPr>
            <w:tcW w:w="1417" w:type="dxa"/>
          </w:tcPr>
          <w:p w:rsidR="007F3101" w:rsidRPr="00D5216C" w:rsidRDefault="007F3101" w:rsidP="00C54614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D5216C">
              <w:rPr>
                <w:rFonts w:eastAsia="Times New Roman"/>
                <w:bCs/>
                <w:color w:val="000000"/>
                <w:szCs w:val="20"/>
              </w:rPr>
              <w:t>240,421</w:t>
            </w:r>
          </w:p>
        </w:tc>
        <w:tc>
          <w:tcPr>
            <w:tcW w:w="1559" w:type="dxa"/>
          </w:tcPr>
          <w:p w:rsidR="007F3101" w:rsidRPr="00D5216C" w:rsidRDefault="007F3101" w:rsidP="00C54614">
            <w:pPr>
              <w:spacing w:before="40" w:after="40" w:line="240" w:lineRule="auto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D5216C">
              <w:rPr>
                <w:rFonts w:eastAsia="Times New Roman"/>
                <w:bCs/>
                <w:color w:val="000000"/>
                <w:szCs w:val="20"/>
              </w:rPr>
              <w:t>6,454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F3101" w:rsidRPr="00D5216C" w:rsidRDefault="007F3101" w:rsidP="00C54614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D5216C">
              <w:rPr>
                <w:rFonts w:eastAsia="Times New Roman"/>
                <w:b/>
                <w:bCs/>
                <w:color w:val="000000"/>
                <w:szCs w:val="20"/>
              </w:rPr>
              <w:t>OP 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F3101" w:rsidRPr="00D5216C" w:rsidRDefault="007F3101" w:rsidP="00C54614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D5216C">
              <w:rPr>
                <w:rFonts w:cs="Arial"/>
                <w:szCs w:val="20"/>
              </w:rPr>
              <w:t xml:space="preserve">1.3 </w:t>
            </w:r>
            <w:r w:rsidRPr="00D5216C">
              <w:rPr>
                <w:rFonts w:cs="Arial"/>
                <w:iCs/>
                <w:szCs w:val="20"/>
              </w:rPr>
              <w:t>Pomoc pracovníkům, podnikům a podnikatelům přizpůsobovat se změnám</w:t>
            </w:r>
          </w:p>
        </w:tc>
      </w:tr>
    </w:tbl>
    <w:p w:rsidR="00DC1185" w:rsidRPr="00282CCA" w:rsidRDefault="00964E5F" w:rsidP="00C6395F">
      <w:pPr>
        <w:pStyle w:val="Nadpis4"/>
        <w:spacing w:before="120"/>
        <w:ind w:left="0" w:firstLine="0"/>
        <w:rPr>
          <w:rFonts w:ascii="Arial" w:eastAsiaTheme="minorHAnsi" w:hAnsi="Arial" w:cstheme="minorBidi"/>
          <w:iCs w:val="0"/>
          <w:color w:val="auto"/>
          <w:sz w:val="16"/>
          <w:szCs w:val="16"/>
        </w:rPr>
      </w:pPr>
      <w:r w:rsidRPr="00F274B0">
        <w:rPr>
          <w:rFonts w:ascii="Arial" w:eastAsiaTheme="minorHAnsi" w:hAnsi="Arial" w:cstheme="minorBidi"/>
          <w:iCs w:val="0"/>
          <w:color w:val="auto"/>
          <w:sz w:val="16"/>
          <w:szCs w:val="16"/>
        </w:rPr>
        <w:t>Poznámka</w:t>
      </w:r>
      <w:r w:rsidR="00C6395F" w:rsidRPr="00F274B0">
        <w:rPr>
          <w:rFonts w:ascii="Arial" w:eastAsiaTheme="minorHAnsi" w:hAnsi="Arial" w:cstheme="minorBidi"/>
          <w:iCs w:val="0"/>
          <w:color w:val="auto"/>
          <w:sz w:val="16"/>
          <w:szCs w:val="16"/>
        </w:rPr>
        <w:t>:</w:t>
      </w:r>
      <w:r w:rsidRPr="00F274B0">
        <w:rPr>
          <w:rFonts w:ascii="Arial" w:eastAsiaTheme="minorHAnsi" w:hAnsi="Arial" w:cstheme="minorBidi"/>
          <w:iCs w:val="0"/>
          <w:color w:val="auto"/>
          <w:sz w:val="16"/>
          <w:szCs w:val="16"/>
        </w:rPr>
        <w:t xml:space="preserve"> Pro převod částek využit měsíční kurz ECB pro červenec 2020 1 EUR = 26,848 CZK</w:t>
      </w:r>
    </w:p>
    <w:p w:rsidR="00C6395F" w:rsidRPr="0064342E" w:rsidRDefault="00C6395F" w:rsidP="00C6395F"/>
    <w:p w:rsidR="007B24A7" w:rsidRPr="00B66C5C" w:rsidRDefault="007B24A7" w:rsidP="00D9572F"/>
    <w:p w:rsidR="002C1233" w:rsidRPr="002C1233" w:rsidRDefault="002C1233" w:rsidP="002C1233">
      <w:pPr>
        <w:pStyle w:val="Nadpis2"/>
      </w:pPr>
      <w:r>
        <w:t xml:space="preserve">2.5 </w:t>
      </w:r>
      <w:r w:rsidR="00084FEA">
        <w:t xml:space="preserve">Postup </w:t>
      </w:r>
      <w:r w:rsidR="00CC60F9" w:rsidRPr="00BF638A">
        <w:t>provedení navrhovaných změn</w:t>
      </w:r>
    </w:p>
    <w:p w:rsidR="00BF638A" w:rsidRDefault="00BF638A" w:rsidP="00412570">
      <w:pPr>
        <w:spacing w:before="120" w:line="240" w:lineRule="auto"/>
      </w:pPr>
      <w:r>
        <w:t xml:space="preserve">Realokace prostředků ESIF mezi jednotlivými operačními programy vyžaduje vypracování a schválení tzv. revize operačních programů. </w:t>
      </w:r>
    </w:p>
    <w:p w:rsidR="00084FEA" w:rsidRDefault="00084FEA" w:rsidP="00412570">
      <w:pPr>
        <w:spacing w:before="120" w:line="240" w:lineRule="auto"/>
        <w:rPr>
          <w:rFonts w:cs="Arial"/>
          <w:b/>
          <w:szCs w:val="24"/>
        </w:rPr>
      </w:pPr>
      <w:r w:rsidRPr="00117587">
        <w:rPr>
          <w:rFonts w:cs="Arial"/>
          <w:b/>
          <w:szCs w:val="24"/>
        </w:rPr>
        <w:t xml:space="preserve">Všechny </w:t>
      </w:r>
      <w:r>
        <w:rPr>
          <w:rFonts w:cs="Arial"/>
          <w:b/>
          <w:szCs w:val="24"/>
        </w:rPr>
        <w:t xml:space="preserve">výše uvedené </w:t>
      </w:r>
      <w:r w:rsidRPr="00117587">
        <w:rPr>
          <w:rFonts w:cs="Arial"/>
          <w:b/>
          <w:szCs w:val="24"/>
        </w:rPr>
        <w:t>změny operačních programů</w:t>
      </w:r>
      <w:r>
        <w:rPr>
          <w:rFonts w:cs="Arial"/>
          <w:b/>
          <w:szCs w:val="24"/>
        </w:rPr>
        <w:t xml:space="preserve"> musí schválit příslušné monitorovací výbory jednotlivých operačních programů za účasti partnerů a následně E</w:t>
      </w:r>
      <w:r w:rsidR="009C5D75">
        <w:rPr>
          <w:rFonts w:cs="Arial"/>
          <w:b/>
          <w:szCs w:val="24"/>
        </w:rPr>
        <w:t>K</w:t>
      </w:r>
      <w:r>
        <w:rPr>
          <w:rFonts w:cs="Arial"/>
          <w:b/>
          <w:szCs w:val="24"/>
        </w:rPr>
        <w:t>.</w:t>
      </w:r>
    </w:p>
    <w:p w:rsidR="00084FEA" w:rsidRPr="00117587" w:rsidRDefault="00084FEA" w:rsidP="00412570">
      <w:pPr>
        <w:spacing w:before="12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 případě přesunů prostředků </w:t>
      </w:r>
      <w:r w:rsidRPr="00F261D1">
        <w:rPr>
          <w:rFonts w:cs="Arial"/>
          <w:b/>
          <w:i/>
          <w:szCs w:val="24"/>
        </w:rPr>
        <w:t>mezi</w:t>
      </w:r>
      <w:r>
        <w:rPr>
          <w:rFonts w:cs="Arial"/>
          <w:b/>
          <w:szCs w:val="24"/>
        </w:rPr>
        <w:t xml:space="preserve"> operačními programy je navíc nutné schválení vládou. </w:t>
      </w:r>
    </w:p>
    <w:p w:rsidR="00084FEA" w:rsidRDefault="00084FEA" w:rsidP="00412570">
      <w:pPr>
        <w:spacing w:before="120" w:line="240" w:lineRule="auto"/>
      </w:pPr>
    </w:p>
    <w:p w:rsidR="00CC60F9" w:rsidRPr="00B66C5C" w:rsidRDefault="00CC60F9" w:rsidP="00412570">
      <w:pPr>
        <w:spacing w:before="120" w:line="240" w:lineRule="auto"/>
      </w:pPr>
      <w:r w:rsidRPr="00AD2A31">
        <w:rPr>
          <w:b/>
        </w:rPr>
        <w:t>Potřebné kroky pro provedení</w:t>
      </w:r>
      <w:r w:rsidR="00BF0E46" w:rsidRPr="00AD2A31">
        <w:rPr>
          <w:b/>
        </w:rPr>
        <w:t xml:space="preserve"> revize</w:t>
      </w:r>
      <w:r w:rsidRPr="00AD2A31">
        <w:rPr>
          <w:b/>
        </w:rPr>
        <w:t xml:space="preserve"> operačních programů</w:t>
      </w:r>
      <w:r w:rsidR="005031FF" w:rsidRPr="00AD2A31">
        <w:rPr>
          <w:b/>
        </w:rPr>
        <w:t xml:space="preserve"> souvisejících s realokací</w:t>
      </w:r>
      <w:r w:rsidR="00BF638A" w:rsidRPr="00AD2A31">
        <w:rPr>
          <w:b/>
        </w:rPr>
        <w:t xml:space="preserve"> jsou následující</w:t>
      </w:r>
      <w:r w:rsidRPr="00B66C5C">
        <w:t>:</w:t>
      </w:r>
    </w:p>
    <w:p w:rsidR="00CC60F9" w:rsidRDefault="00CC60F9" w:rsidP="0017146E">
      <w:pPr>
        <w:pStyle w:val="Odstavecseseznamem"/>
        <w:numPr>
          <w:ilvl w:val="0"/>
          <w:numId w:val="2"/>
        </w:numPr>
        <w:spacing w:before="120" w:line="240" w:lineRule="auto"/>
      </w:pPr>
      <w:r w:rsidRPr="00B66C5C">
        <w:t>Příprava návrhu změn řídicími orgány (</w:t>
      </w:r>
      <w:r w:rsidR="00BF0E46" w:rsidRPr="00B66C5C">
        <w:t>ŘO)</w:t>
      </w:r>
      <w:r w:rsidR="00BF638A">
        <w:t xml:space="preserve"> relevantních OP</w:t>
      </w:r>
      <w:r w:rsidR="005031FF">
        <w:t xml:space="preserve"> včetně řádného zdůvodnění</w:t>
      </w:r>
      <w:r w:rsidR="00BF0E46" w:rsidRPr="00B66C5C">
        <w:t>;</w:t>
      </w:r>
      <w:r w:rsidR="00521499" w:rsidRPr="00B66C5C">
        <w:t xml:space="preserve"> </w:t>
      </w:r>
    </w:p>
    <w:p w:rsidR="00BF638A" w:rsidRPr="00B66C5C" w:rsidRDefault="00BF638A" w:rsidP="0017146E">
      <w:pPr>
        <w:pStyle w:val="Odstavecseseznamem"/>
        <w:numPr>
          <w:ilvl w:val="0"/>
          <w:numId w:val="2"/>
        </w:numPr>
        <w:spacing w:before="120" w:line="240" w:lineRule="auto"/>
      </w:pPr>
      <w:r>
        <w:t>Předjednání změn s EK;</w:t>
      </w:r>
    </w:p>
    <w:p w:rsidR="00CC60F9" w:rsidRPr="00E26B1D" w:rsidRDefault="00CC60F9" w:rsidP="0017146E">
      <w:pPr>
        <w:pStyle w:val="Odstavecseseznamem"/>
        <w:numPr>
          <w:ilvl w:val="0"/>
          <w:numId w:val="2"/>
        </w:numPr>
        <w:spacing w:before="120" w:line="240" w:lineRule="auto"/>
      </w:pPr>
      <w:r w:rsidRPr="00B66C5C">
        <w:t xml:space="preserve">Předložení a schválení </w:t>
      </w:r>
      <w:r w:rsidRPr="00E26B1D">
        <w:t>monitorovacím</w:t>
      </w:r>
      <w:r w:rsidR="005031FF" w:rsidRPr="00E26B1D">
        <w:t>i výbory</w:t>
      </w:r>
      <w:r w:rsidRPr="00E26B1D">
        <w:t xml:space="preserve"> </w:t>
      </w:r>
      <w:r w:rsidR="00AD2A31" w:rsidRPr="00E26B1D">
        <w:t>OP</w:t>
      </w:r>
      <w:r w:rsidR="00BF0E46" w:rsidRPr="00E26B1D">
        <w:t>;</w:t>
      </w:r>
      <w:r w:rsidRPr="00E26B1D">
        <w:t xml:space="preserve"> </w:t>
      </w:r>
    </w:p>
    <w:p w:rsidR="00CC60F9" w:rsidRPr="00E26B1D" w:rsidRDefault="00BF638A" w:rsidP="0017146E">
      <w:pPr>
        <w:pStyle w:val="Odstavecseseznamem"/>
        <w:numPr>
          <w:ilvl w:val="0"/>
          <w:numId w:val="2"/>
        </w:numPr>
        <w:spacing w:before="120" w:line="240" w:lineRule="auto"/>
      </w:pPr>
      <w:r w:rsidRPr="00E26B1D">
        <w:t>Předložení žádosti o změny EK</w:t>
      </w:r>
      <w:r w:rsidR="00E26B1D">
        <w:t>;</w:t>
      </w:r>
      <w:r w:rsidR="00CC60F9" w:rsidRPr="00E26B1D">
        <w:t xml:space="preserve"> </w:t>
      </w:r>
    </w:p>
    <w:p w:rsidR="00093EB3" w:rsidRDefault="00CC60F9" w:rsidP="0017146E">
      <w:pPr>
        <w:pStyle w:val="Odstavecseseznamem"/>
        <w:numPr>
          <w:ilvl w:val="0"/>
          <w:numId w:val="2"/>
        </w:numPr>
        <w:spacing w:before="120" w:line="240" w:lineRule="auto"/>
      </w:pPr>
      <w:r w:rsidRPr="00B66C5C">
        <w:t>Schvalovací proces na straně EK</w:t>
      </w:r>
      <w:r w:rsidR="0054193E">
        <w:t>.</w:t>
      </w:r>
    </w:p>
    <w:p w:rsidR="00C65766" w:rsidRDefault="00C65766" w:rsidP="00C65766">
      <w:pPr>
        <w:pStyle w:val="Odstavecseseznamem"/>
        <w:spacing w:before="120" w:line="240" w:lineRule="auto"/>
        <w:ind w:left="360"/>
      </w:pPr>
      <w:r>
        <w:br w:type="page"/>
      </w:r>
    </w:p>
    <w:p w:rsidR="0024621D" w:rsidRDefault="0024621D" w:rsidP="0017146E">
      <w:pPr>
        <w:pStyle w:val="Nadpis1"/>
        <w:numPr>
          <w:ilvl w:val="0"/>
          <w:numId w:val="11"/>
        </w:numPr>
        <w:rPr>
          <w:b/>
        </w:rPr>
      </w:pPr>
      <w:r w:rsidRPr="00EE767F">
        <w:rPr>
          <w:b/>
        </w:rPr>
        <w:t xml:space="preserve">Návrh </w:t>
      </w:r>
      <w:r>
        <w:rPr>
          <w:b/>
        </w:rPr>
        <w:t>implementace Fondu pro spravedlivou transformaci v programovém období 2021-2027</w:t>
      </w:r>
    </w:p>
    <w:p w:rsidR="002C1233" w:rsidRPr="002C1233" w:rsidRDefault="002C1233" w:rsidP="0095176B">
      <w:pPr>
        <w:pStyle w:val="Nadpis2"/>
        <w:ind w:left="0" w:firstLine="0"/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E1EEF" w:rsidRPr="00235059" w:rsidTr="00BD2FFF">
        <w:tc>
          <w:tcPr>
            <w:tcW w:w="9062" w:type="dxa"/>
            <w:shd w:val="clear" w:color="auto" w:fill="F2F2F2" w:themeFill="background1" w:themeFillShade="F2"/>
          </w:tcPr>
          <w:p w:rsidR="00EE1EEF" w:rsidRPr="006252D3" w:rsidRDefault="006252D3" w:rsidP="009C5D75">
            <w:pPr>
              <w:spacing w:before="120" w:line="264" w:lineRule="auto"/>
              <w:rPr>
                <w:rFonts w:cs="Arial"/>
              </w:rPr>
            </w:pPr>
            <w:r>
              <w:rPr>
                <w:rFonts w:cs="Arial"/>
              </w:rPr>
              <w:t>Cílem F</w:t>
            </w:r>
            <w:r w:rsidR="009C5D75">
              <w:rPr>
                <w:rFonts w:cs="Arial"/>
              </w:rPr>
              <w:t>ST</w:t>
            </w:r>
            <w:r>
              <w:rPr>
                <w:rFonts w:cs="Arial"/>
              </w:rPr>
              <w:t xml:space="preserve"> </w:t>
            </w:r>
            <w:r w:rsidR="00EE1EEF" w:rsidRPr="006252D3">
              <w:rPr>
                <w:rFonts w:cs="Arial"/>
              </w:rPr>
              <w:t xml:space="preserve">je zmírnění socioekonomických a environmentálních dopadů na pracovníky a regiony dotčené závislostí na uhlí a jeho zpracování. Alokace fondu byla navýšena </w:t>
            </w:r>
            <w:r w:rsidR="00CA000D">
              <w:rPr>
                <w:rFonts w:cs="Arial"/>
              </w:rPr>
              <w:t>o</w:t>
            </w:r>
            <w:r w:rsidR="00CA000D" w:rsidRPr="006252D3">
              <w:rPr>
                <w:rFonts w:cs="Arial"/>
              </w:rPr>
              <w:t xml:space="preserve"> </w:t>
            </w:r>
            <w:r w:rsidR="00CA000D">
              <w:rPr>
                <w:rFonts w:cs="Arial"/>
              </w:rPr>
              <w:t>1</w:t>
            </w:r>
            <w:r w:rsidR="00EE1EEF" w:rsidRPr="006252D3">
              <w:rPr>
                <w:rFonts w:cs="Arial"/>
              </w:rPr>
              <w:t xml:space="preserve">0 mld. EUR, přičemž </w:t>
            </w:r>
            <w:r w:rsidR="00EE1EEF" w:rsidRPr="006252D3">
              <w:rPr>
                <w:rFonts w:cs="Arial"/>
                <w:b/>
              </w:rPr>
              <w:t xml:space="preserve">Česká republika by z něj měla </w:t>
            </w:r>
            <w:r w:rsidR="009C5D75">
              <w:rPr>
                <w:rFonts w:cs="Arial"/>
                <w:b/>
              </w:rPr>
              <w:t xml:space="preserve">celkem </w:t>
            </w:r>
            <w:r w:rsidR="00EE1EEF" w:rsidRPr="006252D3">
              <w:rPr>
                <w:rFonts w:cs="Arial"/>
                <w:b/>
              </w:rPr>
              <w:t xml:space="preserve">získat </w:t>
            </w:r>
            <w:r w:rsidR="00CA000D">
              <w:rPr>
                <w:rFonts w:cs="Arial"/>
                <w:b/>
              </w:rPr>
              <w:t>bezmála 1,</w:t>
            </w:r>
            <w:r w:rsidR="000550F9">
              <w:rPr>
                <w:rFonts w:cs="Arial"/>
                <w:b/>
              </w:rPr>
              <w:t>4</w:t>
            </w:r>
            <w:r w:rsidR="00EE1EEF" w:rsidRPr="006252D3">
              <w:rPr>
                <w:rFonts w:cs="Arial"/>
                <w:b/>
              </w:rPr>
              <w:t xml:space="preserve"> mld. EUR</w:t>
            </w:r>
            <w:r w:rsidR="000550F9">
              <w:rPr>
                <w:rStyle w:val="Znakapoznpodarou"/>
                <w:rFonts w:cs="Arial"/>
                <w:b/>
              </w:rPr>
              <w:footnoteReference w:id="8"/>
            </w:r>
            <w:r w:rsidR="00EE1EEF" w:rsidRPr="006252D3">
              <w:rPr>
                <w:rFonts w:cs="Arial"/>
                <w:b/>
              </w:rPr>
              <w:t xml:space="preserve">. Včetně </w:t>
            </w:r>
            <w:r w:rsidR="00CA000D">
              <w:rPr>
                <w:rFonts w:cs="Arial"/>
                <w:b/>
              </w:rPr>
              <w:t xml:space="preserve">povinného přesunu z EFRR a ESF+ a </w:t>
            </w:r>
            <w:r w:rsidR="00EE1EEF" w:rsidRPr="006252D3">
              <w:rPr>
                <w:rFonts w:cs="Arial"/>
                <w:b/>
              </w:rPr>
              <w:t xml:space="preserve">národního spolufinancování tak může alokace tohoto fondu </w:t>
            </w:r>
            <w:r w:rsidR="00CA000D">
              <w:rPr>
                <w:rFonts w:cs="Arial"/>
                <w:b/>
              </w:rPr>
              <w:t>podpořit projekty</w:t>
            </w:r>
            <w:r w:rsidR="00CA000D" w:rsidRPr="006252D3">
              <w:rPr>
                <w:rFonts w:cs="Arial"/>
                <w:b/>
              </w:rPr>
              <w:t xml:space="preserve"> </w:t>
            </w:r>
            <w:r w:rsidR="00EE1EEF" w:rsidRPr="006252D3">
              <w:rPr>
                <w:rFonts w:cs="Arial"/>
                <w:b/>
              </w:rPr>
              <w:t xml:space="preserve">až </w:t>
            </w:r>
            <w:r w:rsidR="00CA000D">
              <w:rPr>
                <w:rFonts w:cs="Arial"/>
                <w:b/>
              </w:rPr>
              <w:t xml:space="preserve">za částku </w:t>
            </w:r>
            <w:r w:rsidR="009C5D75">
              <w:rPr>
                <w:rFonts w:cs="Arial"/>
                <w:b/>
              </w:rPr>
              <w:t>na úrovni</w:t>
            </w:r>
            <w:r w:rsidR="009B1102">
              <w:rPr>
                <w:rFonts w:cs="Arial"/>
                <w:b/>
              </w:rPr>
              <w:t xml:space="preserve"> </w:t>
            </w:r>
            <w:r w:rsidR="00CE193F">
              <w:rPr>
                <w:rFonts w:cs="Arial"/>
                <w:b/>
              </w:rPr>
              <w:t xml:space="preserve">cca </w:t>
            </w:r>
            <w:r w:rsidR="009B1102">
              <w:rPr>
                <w:rFonts w:cs="Arial"/>
                <w:b/>
              </w:rPr>
              <w:t>9</w:t>
            </w:r>
            <w:r w:rsidR="00EE1EEF" w:rsidRPr="006252D3">
              <w:rPr>
                <w:rFonts w:cs="Arial"/>
                <w:b/>
              </w:rPr>
              <w:t>0 mld. CZK.</w:t>
            </w:r>
            <w:r w:rsidR="00EE1EEF" w:rsidRPr="006252D3">
              <w:rPr>
                <w:rFonts w:cs="Arial"/>
              </w:rPr>
              <w:t xml:space="preserve"> </w:t>
            </w:r>
          </w:p>
        </w:tc>
      </w:tr>
    </w:tbl>
    <w:p w:rsidR="00EE1EEF" w:rsidRDefault="00EE1EEF" w:rsidP="00EE1EEF">
      <w:pPr>
        <w:spacing w:line="288" w:lineRule="auto"/>
        <w:rPr>
          <w:rFonts w:eastAsia="Calibri" w:cs="Arial"/>
          <w:lang w:eastAsia="cs-CZ"/>
        </w:rPr>
      </w:pPr>
    </w:p>
    <w:p w:rsidR="00EE1EEF" w:rsidRPr="0095176B" w:rsidRDefault="0095176B" w:rsidP="00412570">
      <w:pPr>
        <w:spacing w:before="120" w:line="240" w:lineRule="auto"/>
        <w:rPr>
          <w:rFonts w:eastAsia="Calibri" w:cs="Arial"/>
          <w:lang w:eastAsia="cs-CZ"/>
        </w:rPr>
      </w:pPr>
      <w:r>
        <w:rPr>
          <w:rFonts w:eastAsia="Calibri" w:cs="Arial"/>
          <w:lang w:eastAsia="cs-CZ"/>
        </w:rPr>
        <w:t>Materiál</w:t>
      </w:r>
      <w:r w:rsidR="00CA000D">
        <w:rPr>
          <w:rFonts w:eastAsia="Calibri" w:cs="Arial"/>
          <w:lang w:eastAsia="cs-CZ"/>
        </w:rPr>
        <w:t xml:space="preserve"> vychází</w:t>
      </w:r>
      <w:r w:rsidR="00EE1EEF">
        <w:rPr>
          <w:rFonts w:eastAsia="Calibri" w:cs="Arial"/>
          <w:lang w:eastAsia="cs-CZ"/>
        </w:rPr>
        <w:t xml:space="preserve"> </w:t>
      </w:r>
      <w:r w:rsidR="00CA000D">
        <w:rPr>
          <w:rFonts w:eastAsia="Calibri" w:cs="Arial"/>
          <w:lang w:eastAsia="cs-CZ"/>
        </w:rPr>
        <w:t xml:space="preserve">z textu </w:t>
      </w:r>
      <w:r w:rsidR="00790073">
        <w:rPr>
          <w:rFonts w:eastAsia="Calibri" w:cs="Arial"/>
          <w:lang w:eastAsia="cs-CZ"/>
        </w:rPr>
        <w:t>částečnýc</w:t>
      </w:r>
      <w:r w:rsidR="00CA000D">
        <w:rPr>
          <w:rFonts w:eastAsia="Calibri" w:cs="Arial"/>
          <w:lang w:eastAsia="cs-CZ"/>
        </w:rPr>
        <w:t>h</w:t>
      </w:r>
      <w:r w:rsidR="00790073">
        <w:rPr>
          <w:rFonts w:eastAsia="Calibri" w:cs="Arial"/>
          <w:lang w:eastAsia="cs-CZ"/>
        </w:rPr>
        <w:t xml:space="preserve"> mandátů</w:t>
      </w:r>
      <w:r w:rsidR="00CA000D">
        <w:rPr>
          <w:rFonts w:eastAsia="Calibri" w:cs="Arial"/>
          <w:lang w:eastAsia="cs-CZ"/>
        </w:rPr>
        <w:t xml:space="preserve"> Ra</w:t>
      </w:r>
      <w:r w:rsidR="00790073">
        <w:rPr>
          <w:rFonts w:eastAsia="Calibri" w:cs="Arial"/>
          <w:lang w:eastAsia="cs-CZ"/>
        </w:rPr>
        <w:t>dy schválených</w:t>
      </w:r>
      <w:r w:rsidR="00CA000D">
        <w:rPr>
          <w:rFonts w:eastAsia="Calibri" w:cs="Arial"/>
          <w:lang w:eastAsia="cs-CZ"/>
        </w:rPr>
        <w:t xml:space="preserve"> na </w:t>
      </w:r>
      <w:r w:rsidR="00790073">
        <w:rPr>
          <w:rFonts w:eastAsia="Calibri" w:cs="Arial"/>
          <w:lang w:eastAsia="cs-CZ"/>
        </w:rPr>
        <w:t xml:space="preserve">jednání </w:t>
      </w:r>
      <w:r w:rsidR="00CA000D">
        <w:rPr>
          <w:rFonts w:eastAsia="Calibri" w:cs="Arial"/>
          <w:lang w:eastAsia="cs-CZ"/>
        </w:rPr>
        <w:t xml:space="preserve">COREPER II </w:t>
      </w:r>
      <w:r w:rsidR="00790073">
        <w:rPr>
          <w:rFonts w:eastAsia="Calibri" w:cs="Arial"/>
          <w:lang w:eastAsia="cs-CZ"/>
        </w:rPr>
        <w:t xml:space="preserve">ve </w:t>
      </w:r>
      <w:r w:rsidR="00CA000D">
        <w:rPr>
          <w:rFonts w:eastAsia="Calibri" w:cs="Arial"/>
          <w:lang w:eastAsia="cs-CZ"/>
        </w:rPr>
        <w:t>dne</w:t>
      </w:r>
      <w:r w:rsidR="00790073">
        <w:rPr>
          <w:rFonts w:eastAsia="Calibri" w:cs="Arial"/>
          <w:lang w:eastAsia="cs-CZ"/>
        </w:rPr>
        <w:t>ch</w:t>
      </w:r>
      <w:r w:rsidR="00CA000D">
        <w:rPr>
          <w:rFonts w:eastAsia="Calibri" w:cs="Arial"/>
          <w:lang w:eastAsia="cs-CZ"/>
        </w:rPr>
        <w:t xml:space="preserve"> </w:t>
      </w:r>
      <w:r w:rsidR="00790073">
        <w:rPr>
          <w:rFonts w:eastAsia="Calibri" w:cs="Arial"/>
          <w:lang w:eastAsia="cs-CZ"/>
        </w:rPr>
        <w:t>24</w:t>
      </w:r>
      <w:r w:rsidR="00CA000D">
        <w:rPr>
          <w:rFonts w:eastAsia="Calibri" w:cs="Arial"/>
          <w:lang w:eastAsia="cs-CZ"/>
        </w:rPr>
        <w:t>. červn</w:t>
      </w:r>
      <w:r w:rsidR="00790073">
        <w:rPr>
          <w:rFonts w:eastAsia="Calibri" w:cs="Arial"/>
          <w:lang w:eastAsia="cs-CZ"/>
        </w:rPr>
        <w:t>a</w:t>
      </w:r>
      <w:r w:rsidR="00CA000D">
        <w:rPr>
          <w:rFonts w:eastAsia="Calibri" w:cs="Arial"/>
          <w:lang w:eastAsia="cs-CZ"/>
        </w:rPr>
        <w:t xml:space="preserve"> 2020 a </w:t>
      </w:r>
      <w:r w:rsidR="00790073">
        <w:rPr>
          <w:rFonts w:eastAsia="Calibri" w:cs="Arial"/>
          <w:lang w:eastAsia="cs-CZ"/>
        </w:rPr>
        <w:t xml:space="preserve">22. července 2020 a </w:t>
      </w:r>
      <w:r w:rsidR="00CA000D">
        <w:rPr>
          <w:rFonts w:eastAsia="Calibri" w:cs="Arial"/>
          <w:lang w:eastAsia="cs-CZ"/>
        </w:rPr>
        <w:t xml:space="preserve">výsledků jednání Rady EUCO o VFR 2021-2027 a EU příští generace ze </w:t>
      </w:r>
      <w:r w:rsidR="00CA000D" w:rsidRPr="0095176B">
        <w:rPr>
          <w:rFonts w:eastAsia="Calibri" w:cs="Arial"/>
          <w:lang w:eastAsia="cs-CZ"/>
        </w:rPr>
        <w:t xml:space="preserve">dne 21. července </w:t>
      </w:r>
      <w:r w:rsidR="00EE1EEF" w:rsidRPr="0095176B">
        <w:rPr>
          <w:rFonts w:eastAsia="Calibri" w:cs="Arial"/>
          <w:lang w:eastAsia="cs-CZ"/>
        </w:rPr>
        <w:t xml:space="preserve">2020. </w:t>
      </w:r>
    </w:p>
    <w:p w:rsidR="00EE1EEF" w:rsidRPr="0095176B" w:rsidRDefault="00EE1EEF" w:rsidP="00412570">
      <w:pPr>
        <w:spacing w:before="120" w:line="240" w:lineRule="auto"/>
        <w:rPr>
          <w:rFonts w:eastAsia="Calibri" w:cs="Arial"/>
          <w:lang w:eastAsia="cs-CZ"/>
        </w:rPr>
      </w:pPr>
      <w:r w:rsidRPr="0095176B">
        <w:rPr>
          <w:rFonts w:eastAsia="Calibri" w:cs="Arial"/>
        </w:rPr>
        <w:t xml:space="preserve">Návrh nařízení o FST obsahuje parametry, které </w:t>
      </w:r>
      <w:r w:rsidRPr="0095176B">
        <w:rPr>
          <w:rFonts w:eastAsia="Calibri" w:cs="Arial"/>
          <w:lang w:eastAsia="cs-CZ"/>
        </w:rPr>
        <w:t xml:space="preserve">sice nebudou mít přímý vliv na implementaci FST, ale ovlivní celkové nastavení implementace fondů </w:t>
      </w:r>
      <w:r w:rsidR="00790073" w:rsidRPr="0095176B">
        <w:rPr>
          <w:rFonts w:eastAsia="Calibri" w:cs="Arial"/>
          <w:lang w:eastAsia="cs-CZ"/>
        </w:rPr>
        <w:t xml:space="preserve">politiky soudržnosti </w:t>
      </w:r>
      <w:r w:rsidRPr="0095176B">
        <w:rPr>
          <w:rFonts w:eastAsia="Calibri" w:cs="Arial"/>
          <w:lang w:eastAsia="cs-CZ"/>
        </w:rPr>
        <w:t>EU v ČR v období 2021–2027,</w:t>
      </w:r>
      <w:r w:rsidRPr="0095176B">
        <w:rPr>
          <w:rFonts w:eastAsia="Calibri" w:cs="Arial"/>
        </w:rPr>
        <w:t xml:space="preserve"> </w:t>
      </w:r>
      <w:r w:rsidR="00B75F8B">
        <w:rPr>
          <w:rFonts w:eastAsia="Calibri" w:cs="Arial"/>
        </w:rPr>
        <w:br/>
      </w:r>
      <w:r w:rsidRPr="0095176B">
        <w:rPr>
          <w:rFonts w:eastAsia="Calibri" w:cs="Arial"/>
        </w:rPr>
        <w:t>a musí tedy být zohledněny při rozhodování a konkrétním způsobu implementace FST.</w:t>
      </w:r>
      <w:r w:rsidRPr="0095176B">
        <w:rPr>
          <w:rFonts w:eastAsia="Calibri" w:cs="Arial"/>
          <w:lang w:eastAsia="cs-CZ"/>
        </w:rPr>
        <w:t xml:space="preserve"> Mezi tyto parametry patří zejména:</w:t>
      </w:r>
    </w:p>
    <w:p w:rsidR="00EE1EEF" w:rsidRDefault="00EE1EEF" w:rsidP="0017146E">
      <w:pPr>
        <w:pStyle w:val="Odstavecseseznamem"/>
        <w:numPr>
          <w:ilvl w:val="0"/>
          <w:numId w:val="6"/>
        </w:numPr>
        <w:spacing w:before="120" w:line="240" w:lineRule="auto"/>
        <w:ind w:left="714" w:hanging="357"/>
        <w:contextualSpacing w:val="0"/>
        <w:rPr>
          <w:rFonts w:eastAsia="Calibri" w:cs="Arial"/>
          <w:lang w:eastAsia="cs-CZ"/>
        </w:rPr>
      </w:pPr>
      <w:r>
        <w:rPr>
          <w:rFonts w:eastAsia="Calibri" w:cs="Arial"/>
          <w:lang w:eastAsia="cs-CZ"/>
        </w:rPr>
        <w:t xml:space="preserve">povinnost doplnit základní zdroje FST o příspěvek z EFRR/ESF+ (v navržené výši 1,5 až 3 násobku </w:t>
      </w:r>
      <w:r w:rsidR="00790073">
        <w:rPr>
          <w:rFonts w:eastAsia="Calibri" w:cs="Arial"/>
          <w:lang w:eastAsia="cs-CZ"/>
        </w:rPr>
        <w:t xml:space="preserve">objemu </w:t>
      </w:r>
      <w:r>
        <w:rPr>
          <w:rFonts w:eastAsia="Calibri" w:cs="Arial"/>
          <w:lang w:eastAsia="cs-CZ"/>
        </w:rPr>
        <w:t xml:space="preserve">FST), </w:t>
      </w:r>
      <w:r w:rsidR="00790073">
        <w:rPr>
          <w:rFonts w:eastAsia="Calibri" w:cs="Arial"/>
          <w:lang w:eastAsia="cs-CZ"/>
        </w:rPr>
        <w:t xml:space="preserve">složka </w:t>
      </w:r>
      <w:r>
        <w:rPr>
          <w:rFonts w:eastAsia="Calibri" w:cs="Arial"/>
          <w:lang w:eastAsia="cs-CZ"/>
        </w:rPr>
        <w:t>finanční</w:t>
      </w:r>
      <w:r w:rsidR="00790073">
        <w:rPr>
          <w:rFonts w:eastAsia="Calibri" w:cs="Arial"/>
          <w:lang w:eastAsia="cs-CZ"/>
        </w:rPr>
        <w:t>ch</w:t>
      </w:r>
      <w:r>
        <w:rPr>
          <w:rFonts w:eastAsia="Calibri" w:cs="Arial"/>
          <w:lang w:eastAsia="cs-CZ"/>
        </w:rPr>
        <w:t xml:space="preserve"> prostředk</w:t>
      </w:r>
      <w:r w:rsidR="00790073">
        <w:rPr>
          <w:rFonts w:eastAsia="Calibri" w:cs="Arial"/>
          <w:lang w:eastAsia="cs-CZ"/>
        </w:rPr>
        <w:t>ů</w:t>
      </w:r>
      <w:r>
        <w:rPr>
          <w:rFonts w:eastAsia="Calibri" w:cs="Arial"/>
          <w:lang w:eastAsia="cs-CZ"/>
        </w:rPr>
        <w:t xml:space="preserve"> z </w:t>
      </w:r>
      <w:r w:rsidR="00FA10DA">
        <w:rPr>
          <w:rFonts w:eastAsia="Calibri" w:cs="Arial"/>
          <w:lang w:eastAsia="cs-CZ"/>
        </w:rPr>
        <w:t>N</w:t>
      </w:r>
      <w:r>
        <w:rPr>
          <w:rFonts w:eastAsia="Calibri" w:cs="Arial"/>
          <w:lang w:eastAsia="cs-CZ"/>
        </w:rPr>
        <w:t>ástroje pro obnovu EU (EU</w:t>
      </w:r>
      <w:r w:rsidR="007F277E">
        <w:rPr>
          <w:rFonts w:eastAsia="Calibri" w:cs="Arial"/>
          <w:lang w:eastAsia="cs-CZ"/>
        </w:rPr>
        <w:t xml:space="preserve"> příští generace</w:t>
      </w:r>
      <w:r>
        <w:rPr>
          <w:rFonts w:eastAsia="Calibri" w:cs="Arial"/>
          <w:lang w:eastAsia="cs-CZ"/>
        </w:rPr>
        <w:t xml:space="preserve">), nemusí být povinně doplňovány z jakýchkoliv zdrojů, </w:t>
      </w:r>
    </w:p>
    <w:p w:rsidR="00EE1EEF" w:rsidRDefault="00EE1EEF" w:rsidP="0017146E">
      <w:pPr>
        <w:pStyle w:val="Odstavecseseznamem"/>
        <w:numPr>
          <w:ilvl w:val="0"/>
          <w:numId w:val="6"/>
        </w:numPr>
        <w:spacing w:before="120" w:line="240" w:lineRule="auto"/>
        <w:ind w:left="714" w:hanging="357"/>
        <w:contextualSpacing w:val="0"/>
        <w:rPr>
          <w:rFonts w:eastAsia="Calibri" w:cs="Arial"/>
          <w:lang w:eastAsia="cs-CZ"/>
        </w:rPr>
      </w:pPr>
      <w:r>
        <w:rPr>
          <w:rFonts w:eastAsia="Calibri" w:cs="Arial"/>
          <w:lang w:eastAsia="cs-CZ"/>
        </w:rPr>
        <w:t>povinnost definovat intervence FST v plánech spravedlivé územní transformace, které mají být schvalovány společně s příslušným programem/programy při jejich prvním schválení nebo při schválení jejich změn,</w:t>
      </w:r>
    </w:p>
    <w:p w:rsidR="00EE1EEF" w:rsidRDefault="00EE1EEF" w:rsidP="0017146E">
      <w:pPr>
        <w:pStyle w:val="Odstavecseseznamem"/>
        <w:numPr>
          <w:ilvl w:val="0"/>
          <w:numId w:val="6"/>
        </w:numPr>
        <w:spacing w:before="120" w:line="240" w:lineRule="auto"/>
        <w:ind w:left="714" w:hanging="357"/>
        <w:contextualSpacing w:val="0"/>
        <w:rPr>
          <w:rFonts w:eastAsia="Calibri" w:cs="Arial"/>
          <w:lang w:eastAsia="cs-CZ"/>
        </w:rPr>
      </w:pPr>
      <w:r>
        <w:rPr>
          <w:rFonts w:eastAsia="Calibri" w:cs="Arial"/>
          <w:lang w:eastAsia="cs-CZ"/>
        </w:rPr>
        <w:t xml:space="preserve">řízení FST podle vlastních pravidel, což mj. znamená: </w:t>
      </w:r>
    </w:p>
    <w:p w:rsidR="00EE1EEF" w:rsidRDefault="00EE1EEF" w:rsidP="0017146E">
      <w:pPr>
        <w:pStyle w:val="Odstavecseseznamem"/>
        <w:numPr>
          <w:ilvl w:val="1"/>
          <w:numId w:val="6"/>
        </w:numPr>
        <w:spacing w:before="120" w:line="240" w:lineRule="auto"/>
        <w:contextualSpacing w:val="0"/>
        <w:rPr>
          <w:rFonts w:eastAsia="Calibri" w:cs="Arial"/>
          <w:lang w:eastAsia="cs-CZ"/>
        </w:rPr>
      </w:pPr>
      <w:r w:rsidRPr="002857F1">
        <w:rPr>
          <w:rFonts w:eastAsia="Calibri" w:cs="Arial"/>
          <w:lang w:eastAsia="cs-CZ"/>
        </w:rPr>
        <w:t>nezapočítávání FST k tematické k</w:t>
      </w:r>
      <w:r>
        <w:rPr>
          <w:rFonts w:eastAsia="Calibri" w:cs="Arial"/>
          <w:lang w:eastAsia="cs-CZ"/>
        </w:rPr>
        <w:t>oncentraci přispívajících fondů, a to zejména v</w:t>
      </w:r>
      <w:r w:rsidR="005C66C4">
        <w:rPr>
          <w:rFonts w:eastAsia="Calibri" w:cs="Arial"/>
          <w:lang w:eastAsia="cs-CZ"/>
        </w:rPr>
        <w:t> </w:t>
      </w:r>
      <w:r>
        <w:rPr>
          <w:rFonts w:eastAsia="Calibri" w:cs="Arial"/>
          <w:lang w:eastAsia="cs-CZ"/>
        </w:rPr>
        <w:t>případě EFRR,</w:t>
      </w:r>
    </w:p>
    <w:p w:rsidR="00EE1EEF" w:rsidRPr="002857F1" w:rsidRDefault="00EE1EEF" w:rsidP="0017146E">
      <w:pPr>
        <w:pStyle w:val="Odstavecseseznamem"/>
        <w:numPr>
          <w:ilvl w:val="1"/>
          <w:numId w:val="6"/>
        </w:numPr>
        <w:spacing w:before="120" w:line="240" w:lineRule="auto"/>
        <w:contextualSpacing w:val="0"/>
        <w:rPr>
          <w:rFonts w:eastAsia="Calibri" w:cs="Arial"/>
          <w:lang w:eastAsia="cs-CZ"/>
        </w:rPr>
      </w:pPr>
      <w:r w:rsidRPr="002857F1">
        <w:rPr>
          <w:rFonts w:eastAsia="Calibri" w:cs="Arial"/>
          <w:lang w:eastAsia="cs-CZ"/>
        </w:rPr>
        <w:t xml:space="preserve">nezapočítávání FST </w:t>
      </w:r>
      <w:r>
        <w:rPr>
          <w:rFonts w:eastAsia="Calibri" w:cs="Arial"/>
          <w:lang w:eastAsia="cs-CZ"/>
        </w:rPr>
        <w:t>(</w:t>
      </w:r>
      <w:r w:rsidR="00FA10DA">
        <w:rPr>
          <w:rFonts w:eastAsia="Calibri" w:cs="Arial"/>
          <w:lang w:eastAsia="cs-CZ"/>
        </w:rPr>
        <w:t xml:space="preserve">části </w:t>
      </w:r>
      <w:r>
        <w:rPr>
          <w:rFonts w:eastAsia="Calibri" w:cs="Arial"/>
          <w:lang w:eastAsia="cs-CZ"/>
        </w:rPr>
        <w:t>příspěvku</w:t>
      </w:r>
      <w:r w:rsidRPr="002857F1">
        <w:rPr>
          <w:rFonts w:eastAsia="Calibri" w:cs="Arial"/>
          <w:lang w:eastAsia="cs-CZ"/>
        </w:rPr>
        <w:t xml:space="preserve"> </w:t>
      </w:r>
      <w:r w:rsidR="00FA10DA">
        <w:rPr>
          <w:rFonts w:eastAsia="Calibri" w:cs="Arial"/>
          <w:lang w:eastAsia="cs-CZ"/>
        </w:rPr>
        <w:t xml:space="preserve">z </w:t>
      </w:r>
      <w:r w:rsidRPr="002857F1">
        <w:rPr>
          <w:rFonts w:eastAsia="Calibri" w:cs="Arial"/>
          <w:lang w:eastAsia="cs-CZ"/>
        </w:rPr>
        <w:t>EFRR</w:t>
      </w:r>
      <w:r>
        <w:rPr>
          <w:rFonts w:eastAsia="Calibri" w:cs="Arial"/>
          <w:lang w:eastAsia="cs-CZ"/>
        </w:rPr>
        <w:t>)</w:t>
      </w:r>
      <w:r w:rsidRPr="002857F1">
        <w:rPr>
          <w:rFonts w:eastAsia="Calibri" w:cs="Arial"/>
          <w:lang w:eastAsia="cs-CZ"/>
        </w:rPr>
        <w:t xml:space="preserve"> do minimálního přídělu na udržitelný rozvoj měst.</w:t>
      </w:r>
    </w:p>
    <w:p w:rsidR="00EE1EEF" w:rsidRDefault="00EE1EEF" w:rsidP="00412570">
      <w:pPr>
        <w:spacing w:before="120" w:line="240" w:lineRule="auto"/>
      </w:pPr>
    </w:p>
    <w:p w:rsidR="00244D64" w:rsidRPr="00BD320C" w:rsidRDefault="00BD320C" w:rsidP="00BD320C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BD320C">
        <w:t>MMR předkládá návrh usnesení</w:t>
      </w:r>
      <w:r w:rsidR="0095176B">
        <w:t>, kterým</w:t>
      </w:r>
      <w:r w:rsidRPr="00BD320C">
        <w:t xml:space="preserve"> </w:t>
      </w:r>
      <w:r w:rsidR="0095176B">
        <w:t>navrhuje zřídit</w:t>
      </w:r>
      <w:r w:rsidRPr="00BD320C">
        <w:t xml:space="preserve"> jeden samostatný OP se zprostředkujícími subjekty.</w:t>
      </w:r>
      <w:r w:rsidR="00244D64" w:rsidRPr="00BD320C">
        <w:br w:type="page"/>
      </w:r>
    </w:p>
    <w:p w:rsidR="00E2533D" w:rsidRPr="0024621D" w:rsidRDefault="00E2533D" w:rsidP="0017146E">
      <w:pPr>
        <w:pStyle w:val="Nadpis1"/>
        <w:numPr>
          <w:ilvl w:val="0"/>
          <w:numId w:val="11"/>
        </w:numPr>
        <w:rPr>
          <w:b/>
        </w:rPr>
      </w:pPr>
      <w:r w:rsidRPr="0024621D">
        <w:rPr>
          <w:b/>
        </w:rPr>
        <w:t>Závěr</w:t>
      </w:r>
      <w:r w:rsidR="00E86CF7" w:rsidRPr="0024621D">
        <w:rPr>
          <w:b/>
        </w:rPr>
        <w:t xml:space="preserve"> – shrnutí materiálu</w:t>
      </w:r>
    </w:p>
    <w:p w:rsidR="00BF638A" w:rsidRPr="00FC3A7F" w:rsidRDefault="000727DA" w:rsidP="009F48A7">
      <w:pPr>
        <w:spacing w:before="120" w:line="240" w:lineRule="auto"/>
        <w:rPr>
          <w:rFonts w:eastAsia="Arial" w:cs="Arial"/>
          <w:b/>
        </w:rPr>
      </w:pPr>
      <w:r w:rsidRPr="00FC3A7F">
        <w:rPr>
          <w:rFonts w:eastAsia="Arial" w:cs="Arial"/>
          <w:b/>
        </w:rPr>
        <w:t xml:space="preserve">Materiál zahrnuje tři témata, která jsou předložena vládě </w:t>
      </w:r>
      <w:r w:rsidR="004309E9" w:rsidRPr="00FC3A7F">
        <w:rPr>
          <w:rFonts w:eastAsia="Arial" w:cs="Arial"/>
          <w:b/>
        </w:rPr>
        <w:t>ke schválení</w:t>
      </w:r>
      <w:r w:rsidR="00BF638A" w:rsidRPr="00FC3A7F">
        <w:rPr>
          <w:rFonts w:eastAsia="Arial" w:cs="Arial"/>
          <w:b/>
        </w:rPr>
        <w:t>:</w:t>
      </w:r>
    </w:p>
    <w:p w:rsidR="00BF638A" w:rsidRPr="0017146E" w:rsidRDefault="00BF638A" w:rsidP="0017146E">
      <w:pPr>
        <w:pStyle w:val="Odstavecseseznamem"/>
        <w:numPr>
          <w:ilvl w:val="0"/>
          <w:numId w:val="13"/>
        </w:numPr>
        <w:spacing w:before="120" w:line="240" w:lineRule="auto"/>
        <w:ind w:left="709"/>
        <w:rPr>
          <w:rFonts w:eastAsia="Arial" w:cs="Arial"/>
          <w:b/>
        </w:rPr>
      </w:pPr>
      <w:r w:rsidRPr="0017146E">
        <w:rPr>
          <w:rFonts w:eastAsia="Arial" w:cs="Arial"/>
          <w:b/>
        </w:rPr>
        <w:t xml:space="preserve">Návrh na využití dodatečné alokace </w:t>
      </w:r>
      <w:r w:rsidR="00FA10DA">
        <w:rPr>
          <w:rFonts w:eastAsia="Arial" w:cs="Arial"/>
          <w:b/>
        </w:rPr>
        <w:t xml:space="preserve">k </w:t>
      </w:r>
      <w:r w:rsidRPr="0017146E">
        <w:rPr>
          <w:rFonts w:eastAsia="Arial" w:cs="Arial"/>
          <w:b/>
        </w:rPr>
        <w:t xml:space="preserve">ESIF přidělené ČR v návaznosti na </w:t>
      </w:r>
      <w:r w:rsidR="00F57625">
        <w:rPr>
          <w:rFonts w:eastAsia="Arial" w:cs="Arial"/>
          <w:b/>
        </w:rPr>
        <w:t>React</w:t>
      </w:r>
      <w:r w:rsidRPr="0017146E">
        <w:rPr>
          <w:rFonts w:eastAsia="Arial" w:cs="Arial"/>
          <w:b/>
        </w:rPr>
        <w:t>EU:</w:t>
      </w:r>
    </w:p>
    <w:p w:rsidR="00633C4C" w:rsidRPr="0017146E" w:rsidRDefault="00633C4C" w:rsidP="0017146E">
      <w:pPr>
        <w:pStyle w:val="Odstavecseseznamem"/>
        <w:spacing w:before="120" w:line="240" w:lineRule="auto"/>
        <w:ind w:left="709"/>
        <w:rPr>
          <w:rFonts w:eastAsia="Arial" w:cs="Arial"/>
          <w:b/>
        </w:rPr>
      </w:pPr>
    </w:p>
    <w:p w:rsidR="00BF638A" w:rsidRPr="00906DE1" w:rsidRDefault="00BF638A" w:rsidP="0017146E">
      <w:pPr>
        <w:pStyle w:val="Odstavecseseznamem"/>
        <w:spacing w:before="120" w:line="240" w:lineRule="auto"/>
        <w:ind w:left="709"/>
        <w:rPr>
          <w:rFonts w:eastAsia="Arial" w:cs="Arial"/>
        </w:rPr>
      </w:pPr>
      <w:r w:rsidRPr="0017146E">
        <w:rPr>
          <w:rFonts w:eastAsia="Arial" w:cs="Arial"/>
        </w:rPr>
        <w:t xml:space="preserve">Prostředky budou </w:t>
      </w:r>
      <w:r w:rsidR="0054193E" w:rsidRPr="0017146E">
        <w:rPr>
          <w:rFonts w:eastAsia="Arial" w:cs="Arial"/>
        </w:rPr>
        <w:t xml:space="preserve">alokovány do IROP a </w:t>
      </w:r>
      <w:r w:rsidRPr="00906DE1">
        <w:rPr>
          <w:rFonts w:eastAsia="Arial" w:cs="Arial"/>
        </w:rPr>
        <w:t>využity na oblast</w:t>
      </w:r>
      <w:r w:rsidR="00F44B1E" w:rsidRPr="00906DE1">
        <w:rPr>
          <w:rFonts w:eastAsia="Arial" w:cs="Arial"/>
        </w:rPr>
        <w:t xml:space="preserve"> zdravotnictví, integrovaný záchranný systém, kybernetickou bezpečnost a </w:t>
      </w:r>
      <w:r w:rsidR="001B1C9A" w:rsidRPr="00906DE1">
        <w:rPr>
          <w:rFonts w:eastAsia="Arial" w:cs="Arial"/>
        </w:rPr>
        <w:t xml:space="preserve">doplňkově </w:t>
      </w:r>
      <w:r w:rsidR="00150021" w:rsidRPr="00906DE1">
        <w:rPr>
          <w:rFonts w:eastAsia="Arial" w:cs="Arial"/>
        </w:rPr>
        <w:t>na bezpečnou cyklodopravu</w:t>
      </w:r>
      <w:r w:rsidR="009F3A9B" w:rsidRPr="00906DE1">
        <w:rPr>
          <w:rFonts w:eastAsia="Arial" w:cs="Arial"/>
        </w:rPr>
        <w:t>, sociální služby</w:t>
      </w:r>
      <w:r w:rsidR="00150021" w:rsidRPr="00906DE1">
        <w:rPr>
          <w:rFonts w:eastAsia="Arial" w:cs="Arial"/>
        </w:rPr>
        <w:t xml:space="preserve"> </w:t>
      </w:r>
      <w:r w:rsidR="00B75F8B">
        <w:rPr>
          <w:rFonts w:eastAsia="Arial" w:cs="Arial"/>
        </w:rPr>
        <w:br/>
      </w:r>
      <w:r w:rsidR="00150021" w:rsidRPr="00906DE1">
        <w:rPr>
          <w:rFonts w:eastAsia="Arial" w:cs="Arial"/>
        </w:rPr>
        <w:t xml:space="preserve">a </w:t>
      </w:r>
      <w:r w:rsidR="00F44B1E" w:rsidRPr="00906DE1">
        <w:rPr>
          <w:rFonts w:eastAsia="Arial" w:cs="Arial"/>
        </w:rPr>
        <w:t>technickou pomoc</w:t>
      </w:r>
      <w:r w:rsidR="0054193E" w:rsidRPr="00906DE1">
        <w:rPr>
          <w:rFonts w:eastAsia="Arial" w:cs="Arial"/>
        </w:rPr>
        <w:t>.</w:t>
      </w:r>
    </w:p>
    <w:p w:rsidR="00BF638A" w:rsidRPr="00906DE1" w:rsidRDefault="00BF638A" w:rsidP="0017146E">
      <w:pPr>
        <w:pStyle w:val="Odstavecseseznamem"/>
        <w:spacing w:before="120" w:line="240" w:lineRule="auto"/>
        <w:ind w:left="709"/>
        <w:rPr>
          <w:rFonts w:eastAsia="Arial" w:cs="Arial"/>
          <w:b/>
        </w:rPr>
      </w:pPr>
    </w:p>
    <w:p w:rsidR="00FD7FED" w:rsidRPr="00906DE1" w:rsidRDefault="00BF638A" w:rsidP="0017146E">
      <w:pPr>
        <w:pStyle w:val="Odstavecseseznamem"/>
        <w:numPr>
          <w:ilvl w:val="0"/>
          <w:numId w:val="13"/>
        </w:numPr>
        <w:spacing w:before="120" w:line="240" w:lineRule="auto"/>
        <w:ind w:left="709"/>
        <w:rPr>
          <w:rFonts w:eastAsia="Arial" w:cs="Arial"/>
          <w:b/>
        </w:rPr>
      </w:pPr>
      <w:r w:rsidRPr="00906DE1">
        <w:rPr>
          <w:rFonts w:eastAsia="Arial" w:cs="Arial"/>
          <w:b/>
        </w:rPr>
        <w:t>N</w:t>
      </w:r>
      <w:r w:rsidR="004309E9" w:rsidRPr="00906DE1">
        <w:rPr>
          <w:rFonts w:eastAsia="Arial" w:cs="Arial"/>
          <w:b/>
        </w:rPr>
        <w:t>ávrh</w:t>
      </w:r>
      <w:r w:rsidR="008205F7" w:rsidRPr="00906DE1">
        <w:rPr>
          <w:rFonts w:eastAsia="Arial" w:cs="Arial"/>
          <w:b/>
        </w:rPr>
        <w:t xml:space="preserve"> přesun</w:t>
      </w:r>
      <w:r w:rsidR="004309E9" w:rsidRPr="00906DE1">
        <w:rPr>
          <w:rFonts w:eastAsia="Arial" w:cs="Arial"/>
          <w:b/>
        </w:rPr>
        <w:t>u</w:t>
      </w:r>
      <w:r w:rsidR="008205F7" w:rsidRPr="00906DE1">
        <w:rPr>
          <w:rFonts w:eastAsia="Arial" w:cs="Arial"/>
          <w:b/>
        </w:rPr>
        <w:t xml:space="preserve"> finančních prostředků mezi operačními programy</w:t>
      </w:r>
      <w:r w:rsidRPr="00906DE1">
        <w:rPr>
          <w:rFonts w:eastAsia="Arial" w:cs="Arial"/>
          <w:b/>
        </w:rPr>
        <w:t xml:space="preserve"> OP PIK a OP Z</w:t>
      </w:r>
      <w:r w:rsidR="00FD7FED" w:rsidRPr="00906DE1">
        <w:rPr>
          <w:rFonts w:eastAsia="Arial" w:cs="Arial"/>
          <w:b/>
        </w:rPr>
        <w:t>:</w:t>
      </w:r>
      <w:r w:rsidRPr="00906DE1">
        <w:rPr>
          <w:rFonts w:eastAsia="Arial" w:cs="Arial"/>
          <w:b/>
        </w:rPr>
        <w:t> </w:t>
      </w:r>
    </w:p>
    <w:p w:rsidR="00633C4C" w:rsidRPr="00906DE1" w:rsidRDefault="00FD7FED" w:rsidP="0017146E">
      <w:pPr>
        <w:pStyle w:val="Odstavecseseznamem"/>
        <w:spacing w:before="120" w:line="240" w:lineRule="auto"/>
        <w:ind w:left="709"/>
        <w:rPr>
          <w:rFonts w:eastAsia="Arial" w:cs="Arial"/>
          <w:b/>
        </w:rPr>
      </w:pPr>
      <w:r w:rsidRPr="00906DE1">
        <w:rPr>
          <w:rFonts w:eastAsia="Arial" w:cs="Arial"/>
          <w:b/>
        </w:rPr>
        <w:t xml:space="preserve"> </w:t>
      </w:r>
    </w:p>
    <w:p w:rsidR="00FD7FED" w:rsidRPr="00906DE1" w:rsidRDefault="00BF638A" w:rsidP="0017146E">
      <w:pPr>
        <w:pStyle w:val="Odstavecseseznamem"/>
        <w:spacing w:before="120" w:line="240" w:lineRule="auto"/>
        <w:ind w:left="709"/>
        <w:rPr>
          <w:rFonts w:eastAsia="Arial" w:cs="Arial"/>
        </w:rPr>
      </w:pPr>
      <w:r w:rsidRPr="00906DE1">
        <w:rPr>
          <w:rFonts w:eastAsia="Arial" w:cs="Arial"/>
        </w:rPr>
        <w:t xml:space="preserve">Bude přesunuta disponibilní alokace OP PIK ve výši </w:t>
      </w:r>
      <w:r w:rsidR="0077767B" w:rsidRPr="00906DE1">
        <w:rPr>
          <w:rFonts w:eastAsia="Arial" w:cs="Arial"/>
        </w:rPr>
        <w:t>240,</w:t>
      </w:r>
      <w:r w:rsidRPr="00906DE1">
        <w:rPr>
          <w:rFonts w:eastAsia="Arial" w:cs="Arial"/>
        </w:rPr>
        <w:t>4</w:t>
      </w:r>
      <w:r w:rsidR="0077767B" w:rsidRPr="00906DE1">
        <w:rPr>
          <w:rFonts w:eastAsia="Arial" w:cs="Arial"/>
        </w:rPr>
        <w:t>21 mil</w:t>
      </w:r>
      <w:r w:rsidRPr="00906DE1">
        <w:rPr>
          <w:rFonts w:eastAsia="Arial" w:cs="Arial"/>
        </w:rPr>
        <w:t xml:space="preserve">. </w:t>
      </w:r>
      <w:r w:rsidR="00FD7FED" w:rsidRPr="00906DE1">
        <w:rPr>
          <w:rFonts w:eastAsia="Arial" w:cs="Arial"/>
        </w:rPr>
        <w:t xml:space="preserve">EUR do OPZ za účelem </w:t>
      </w:r>
      <w:r w:rsidR="00936126" w:rsidRPr="00906DE1">
        <w:rPr>
          <w:rFonts w:eastAsia="Arial" w:cs="Arial"/>
        </w:rPr>
        <w:t xml:space="preserve">zpětného </w:t>
      </w:r>
      <w:r w:rsidR="00FD7FED" w:rsidRPr="00906DE1">
        <w:rPr>
          <w:rFonts w:eastAsia="Arial" w:cs="Arial"/>
        </w:rPr>
        <w:t>financování program</w:t>
      </w:r>
      <w:r w:rsidR="00936126" w:rsidRPr="00906DE1">
        <w:rPr>
          <w:rFonts w:eastAsia="Arial" w:cs="Arial"/>
        </w:rPr>
        <w:t xml:space="preserve">u Antivirus a financování </w:t>
      </w:r>
      <w:r w:rsidR="005969A6">
        <w:rPr>
          <w:rFonts w:eastAsia="Arial" w:cs="Arial"/>
        </w:rPr>
        <w:t>projektu</w:t>
      </w:r>
      <w:r w:rsidR="00936126" w:rsidRPr="00906DE1">
        <w:rPr>
          <w:rFonts w:eastAsia="Arial" w:cs="Arial"/>
        </w:rPr>
        <w:t xml:space="preserve"> </w:t>
      </w:r>
      <w:r w:rsidR="005969A6">
        <w:rPr>
          <w:rFonts w:cs="Arial"/>
          <w:szCs w:val="20"/>
        </w:rPr>
        <w:t>“OUTPLACEMENT (OUT)“</w:t>
      </w:r>
      <w:r w:rsidR="00FD7FED" w:rsidRPr="00906DE1">
        <w:rPr>
          <w:rFonts w:eastAsia="Arial" w:cs="Arial"/>
        </w:rPr>
        <w:t>.</w:t>
      </w:r>
    </w:p>
    <w:p w:rsidR="00BF638A" w:rsidRPr="00906DE1" w:rsidRDefault="00BF638A" w:rsidP="0017146E">
      <w:pPr>
        <w:pStyle w:val="Odstavecseseznamem"/>
        <w:spacing w:before="120" w:line="240" w:lineRule="auto"/>
        <w:ind w:left="709"/>
        <w:rPr>
          <w:rFonts w:eastAsia="Arial" w:cs="Arial"/>
          <w:b/>
        </w:rPr>
      </w:pPr>
    </w:p>
    <w:p w:rsidR="00BF638A" w:rsidRPr="00906DE1" w:rsidRDefault="00BF638A" w:rsidP="0017146E">
      <w:pPr>
        <w:pStyle w:val="Odstavecseseznamem"/>
        <w:numPr>
          <w:ilvl w:val="0"/>
          <w:numId w:val="13"/>
        </w:numPr>
        <w:spacing w:before="120" w:line="240" w:lineRule="auto"/>
        <w:ind w:left="709"/>
        <w:rPr>
          <w:rFonts w:eastAsia="Arial" w:cs="Arial"/>
          <w:b/>
        </w:rPr>
      </w:pPr>
      <w:r w:rsidRPr="00906DE1">
        <w:rPr>
          <w:rFonts w:eastAsia="Arial" w:cs="Arial"/>
          <w:b/>
        </w:rPr>
        <w:t xml:space="preserve">Návrh implementace Fondu pro spravedlivou transformaci v programovém období </w:t>
      </w:r>
      <w:r w:rsidR="00B75F8B">
        <w:rPr>
          <w:rFonts w:eastAsia="Arial" w:cs="Arial"/>
          <w:b/>
        </w:rPr>
        <w:br/>
      </w:r>
      <w:r w:rsidRPr="00906DE1">
        <w:rPr>
          <w:rFonts w:eastAsia="Arial" w:cs="Arial"/>
          <w:b/>
        </w:rPr>
        <w:t>2021-2027</w:t>
      </w:r>
      <w:r w:rsidR="00D814E9">
        <w:rPr>
          <w:rFonts w:eastAsia="Arial" w:cs="Arial"/>
          <w:b/>
        </w:rPr>
        <w:t>.</w:t>
      </w:r>
    </w:p>
    <w:p w:rsidR="00633C4C" w:rsidRPr="00906DE1" w:rsidRDefault="00633C4C" w:rsidP="0017146E">
      <w:pPr>
        <w:pStyle w:val="Odstavecseseznamem"/>
        <w:spacing w:before="120" w:line="240" w:lineRule="auto"/>
        <w:ind w:left="709"/>
        <w:rPr>
          <w:rFonts w:eastAsia="Arial" w:cs="Arial"/>
          <w:b/>
        </w:rPr>
      </w:pPr>
    </w:p>
    <w:p w:rsidR="00C65766" w:rsidRPr="00906DE1" w:rsidRDefault="00C65766" w:rsidP="0017146E">
      <w:pPr>
        <w:pStyle w:val="Odstavecseseznamem"/>
        <w:spacing w:before="120" w:line="240" w:lineRule="auto"/>
        <w:ind w:left="709"/>
        <w:rPr>
          <w:rFonts w:cs="Arial"/>
          <w:szCs w:val="24"/>
        </w:rPr>
      </w:pPr>
      <w:r w:rsidRPr="00906DE1">
        <w:rPr>
          <w:rFonts w:cs="Arial"/>
          <w:szCs w:val="24"/>
        </w:rPr>
        <w:br w:type="page"/>
      </w:r>
    </w:p>
    <w:p w:rsidR="00A20C78" w:rsidRPr="002C1233" w:rsidRDefault="00A20C78" w:rsidP="00244D64">
      <w:pPr>
        <w:pStyle w:val="Nadpis1"/>
        <w:numPr>
          <w:ilvl w:val="0"/>
          <w:numId w:val="11"/>
        </w:numPr>
        <w:rPr>
          <w:b/>
        </w:rPr>
      </w:pPr>
      <w:r w:rsidRPr="002C1233">
        <w:rPr>
          <w:b/>
        </w:rPr>
        <w:t>Příloha</w:t>
      </w:r>
    </w:p>
    <w:p w:rsidR="00A20C78" w:rsidRDefault="00A20C78" w:rsidP="00501D50">
      <w:pPr>
        <w:pStyle w:val="Nadpis3"/>
        <w:spacing w:after="0" w:line="240" w:lineRule="auto"/>
      </w:pPr>
      <w:r w:rsidRPr="00A20C78">
        <w:t xml:space="preserve">Podněty od rezortů pro možnost využití dodatečné alokace </w:t>
      </w:r>
      <w:r w:rsidR="00F57625">
        <w:t>React</w:t>
      </w:r>
      <w:r w:rsidRPr="00A20C78">
        <w:t>EU</w:t>
      </w:r>
      <w:r w:rsidR="00330288">
        <w:t xml:space="preserve"> </w:t>
      </w:r>
    </w:p>
    <w:p w:rsidR="00330288" w:rsidRPr="00330288" w:rsidRDefault="00330288" w:rsidP="00501D50">
      <w:pPr>
        <w:spacing w:after="0"/>
      </w:pPr>
      <w:r>
        <w:t>z července 2020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6321"/>
        <w:gridCol w:w="1574"/>
      </w:tblGrid>
      <w:tr w:rsidR="00A20C78" w:rsidRPr="00A20C78" w:rsidTr="00331EFC">
        <w:trPr>
          <w:trHeight w:val="1080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20C78" w:rsidRPr="00A20C78" w:rsidRDefault="00A20C78" w:rsidP="00A20C7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szCs w:val="20"/>
                <w:lang w:eastAsia="cs-CZ"/>
              </w:rPr>
              <w:t>Program</w:t>
            </w:r>
          </w:p>
        </w:tc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A20C78" w:rsidRPr="00A20C78" w:rsidRDefault="00A20C78" w:rsidP="00A20C7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szCs w:val="20"/>
                <w:lang w:eastAsia="cs-CZ"/>
              </w:rPr>
              <w:t>Aktivity k podpoře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15C25" w:rsidRDefault="00A20C78" w:rsidP="00015C2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szCs w:val="20"/>
                <w:lang w:eastAsia="cs-CZ"/>
              </w:rPr>
              <w:t>Předp</w:t>
            </w:r>
            <w:r w:rsidR="00015C25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okládaná absorpční kapacita </w:t>
            </w:r>
          </w:p>
          <w:p w:rsidR="00A20C78" w:rsidRPr="00A20C78" w:rsidRDefault="00A20C78" w:rsidP="00015C2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szCs w:val="20"/>
                <w:lang w:eastAsia="cs-CZ"/>
              </w:rPr>
              <w:t>(mld</w:t>
            </w:r>
            <w:r w:rsidR="00015C25">
              <w:rPr>
                <w:rFonts w:eastAsia="Times New Roman" w:cs="Arial"/>
                <w:b/>
                <w:bCs/>
                <w:szCs w:val="20"/>
                <w:lang w:eastAsia="cs-CZ"/>
              </w:rPr>
              <w:t>.</w:t>
            </w:r>
            <w:r w:rsidRPr="00A20C78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CZK)</w:t>
            </w:r>
          </w:p>
        </w:tc>
      </w:tr>
      <w:tr w:rsidR="00A20C78" w:rsidRPr="00A20C78" w:rsidTr="00AE3C2A">
        <w:trPr>
          <w:trHeight w:val="293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 w:rsidR="00A20C78" w:rsidRPr="00A20C78" w:rsidRDefault="00A20C78" w:rsidP="00A20C7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OP Z</w:t>
            </w:r>
          </w:p>
          <w:p w:rsidR="00A20C78" w:rsidRPr="00A20C78" w:rsidRDefault="00A20C78" w:rsidP="00A20C7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  <w:p w:rsidR="00A20C78" w:rsidRPr="00A20C78" w:rsidRDefault="00A20C78" w:rsidP="00A20C7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6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78" w:rsidRPr="00A20C78" w:rsidRDefault="00A20C78" w:rsidP="00A20C7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Antivirus A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C78" w:rsidRPr="00A20C78" w:rsidRDefault="00A20C78" w:rsidP="00A20C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8,5</w:t>
            </w:r>
          </w:p>
        </w:tc>
      </w:tr>
      <w:tr w:rsidR="00A20C78" w:rsidRPr="00A20C78" w:rsidTr="00AE3C2A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A20C78" w:rsidRPr="00A20C78" w:rsidRDefault="00A20C78" w:rsidP="00A20C7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78" w:rsidRPr="00A20C78" w:rsidRDefault="00A20C78" w:rsidP="00A20C7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Outplacement na podporu zaměstnanců ohrožených propouštěním (či obdobné nástroje)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C78" w:rsidRPr="00A20C78" w:rsidRDefault="00A20C78" w:rsidP="00A20C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A20C78" w:rsidRPr="00A20C78" w:rsidTr="00AE3C2A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20C78" w:rsidRPr="00A20C78" w:rsidRDefault="00A20C78" w:rsidP="00A20C7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78" w:rsidRPr="00A20C78" w:rsidRDefault="00A20C78" w:rsidP="00A20C7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Sociální služby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C78" w:rsidRPr="00A20C78" w:rsidRDefault="00A20C78" w:rsidP="00A20C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036D73" w:rsidRPr="00A20C78" w:rsidTr="00447AE0">
        <w:trPr>
          <w:trHeight w:val="255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IROP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6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Zdravotnictví - přístrojové vybavení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15,2 </w:t>
            </w:r>
          </w:p>
        </w:tc>
      </w:tr>
      <w:tr w:rsidR="00036D73" w:rsidRPr="00A20C78" w:rsidTr="00447AE0">
        <w:trPr>
          <w:trHeight w:val="320"/>
        </w:trPr>
        <w:tc>
          <w:tcPr>
            <w:tcW w:w="115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18E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Zdravotnictví – stavby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15,5 </w:t>
            </w:r>
          </w:p>
        </w:tc>
      </w:tr>
      <w:tr w:rsidR="00036D73" w:rsidRPr="00A20C78" w:rsidTr="00447AE0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Zdravotnictví - záchranky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1,4 </w:t>
            </w:r>
          </w:p>
        </w:tc>
      </w:tr>
      <w:tr w:rsidR="00036D73" w:rsidRPr="00A20C78" w:rsidTr="00447AE0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Integrovaný záchranný systém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3,5 </w:t>
            </w:r>
          </w:p>
        </w:tc>
      </w:tr>
      <w:tr w:rsidR="00036D73" w:rsidRPr="00A20C78" w:rsidTr="00447AE0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Kybernetická bezpečnost ve zdravotnictví a veřejné správě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8,2 </w:t>
            </w:r>
          </w:p>
        </w:tc>
      </w:tr>
      <w:tr w:rsidR="00036D73" w:rsidRPr="00A20C78" w:rsidTr="00447AE0">
        <w:trPr>
          <w:trHeight w:val="270"/>
        </w:trPr>
        <w:tc>
          <w:tcPr>
            <w:tcW w:w="115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Infrastruktura pro sociální služby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73" w:rsidRPr="00036D73" w:rsidRDefault="00C97925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  <w:r w:rsidR="00036D73"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036D73" w:rsidRPr="00A20C78" w:rsidTr="00447AE0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Cyklodoprava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D73" w:rsidRPr="00036D73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36D7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2 </w:t>
            </w:r>
          </w:p>
        </w:tc>
      </w:tr>
      <w:tr w:rsidR="00036D73" w:rsidRPr="00A20C78" w:rsidTr="00A20C78">
        <w:trPr>
          <w:trHeight w:val="255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OP VVV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Podpora ZŠ, SŠ (nákup ICT vybavení)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5,5</w:t>
            </w:r>
          </w:p>
        </w:tc>
      </w:tr>
      <w:tr w:rsidR="00036D73" w:rsidRPr="00A20C78" w:rsidTr="00A20C78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MEPHARED II.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036D73" w:rsidRPr="00A20C78" w:rsidTr="00A20C78">
        <w:trPr>
          <w:trHeight w:val="272"/>
        </w:trPr>
        <w:tc>
          <w:tcPr>
            <w:tcW w:w="11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Rozvoj infrastruktury pro výzkumné organizace (nástroje a zařízení pro VaV)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036D73" w:rsidRPr="00A20C78" w:rsidTr="00A20C78">
        <w:trPr>
          <w:trHeight w:val="272"/>
        </w:trPr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OP PIK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Provozní nebo investiční FN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036D73" w:rsidRPr="00A20C78" w:rsidTr="00A20C78">
        <w:trPr>
          <w:trHeight w:val="255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OP ŽP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Kotlíkové dotace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až 2</w:t>
            </w:r>
          </w:p>
        </w:tc>
      </w:tr>
      <w:tr w:rsidR="00036D73" w:rsidRPr="00A20C78" w:rsidTr="00A20C78">
        <w:trPr>
          <w:trHeight w:val="152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Podpora přípravy projektů na udržitelnou zelenou ekonomiku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NA</w:t>
            </w:r>
          </w:p>
        </w:tc>
      </w:tr>
      <w:tr w:rsidR="00036D73" w:rsidRPr="00A20C78" w:rsidTr="00A20C78">
        <w:trPr>
          <w:trHeight w:val="270"/>
        </w:trPr>
        <w:tc>
          <w:tcPr>
            <w:tcW w:w="11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89. výzva - zásobník projektů - "odprašovačky" pro podniky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036D73" w:rsidRPr="00A20C78" w:rsidTr="00AE3C2A">
        <w:trPr>
          <w:trHeight w:val="178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OP PPR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Kyberbezpečnost nemocnic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0,74</w:t>
            </w:r>
          </w:p>
        </w:tc>
      </w:tr>
      <w:tr w:rsidR="00036D73" w:rsidRPr="00A20C78" w:rsidTr="00AE3C2A">
        <w:trPr>
          <w:trHeight w:val="222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Rozvoj přístrojového vybavení JIP a anesteziologicko- resuscitačních oddělení páteřních nemocnic (vč. rozvoje vybavení operačních sálů)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0,25</w:t>
            </w:r>
          </w:p>
        </w:tc>
      </w:tr>
      <w:tr w:rsidR="00036D73" w:rsidRPr="00A20C78" w:rsidTr="00AE3C2A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FN COVID Praha - podpora MSP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036D73" w:rsidRPr="00A20C78" w:rsidTr="00AE3C2A">
        <w:trPr>
          <w:trHeight w:val="258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INFIN - Finanční nástroj pro podnikatele (speciálně pro inovace)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0,4</w:t>
            </w:r>
          </w:p>
        </w:tc>
      </w:tr>
      <w:tr w:rsidR="00036D73" w:rsidRPr="00A20C78" w:rsidTr="00AE3C2A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Podnikatelské inkubátory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0,2</w:t>
            </w:r>
          </w:p>
        </w:tc>
      </w:tr>
      <w:tr w:rsidR="00036D73" w:rsidRPr="00A20C78" w:rsidTr="00AE3C2A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Navyšování kapacit MŠ a dětských skupin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0,2</w:t>
            </w:r>
          </w:p>
        </w:tc>
      </w:tr>
      <w:tr w:rsidR="00036D73" w:rsidRPr="00A20C78" w:rsidTr="00AE3C2A">
        <w:trPr>
          <w:trHeight w:val="230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R</w:t>
            </w: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ozvoj digitálních kompetencí a modernizace pražských škol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0,2</w:t>
            </w:r>
          </w:p>
        </w:tc>
      </w:tr>
      <w:tr w:rsidR="00036D73" w:rsidRPr="00A20C78" w:rsidTr="00AE3C2A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Podpora komunitního života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0,3</w:t>
            </w:r>
          </w:p>
        </w:tc>
      </w:tr>
      <w:tr w:rsidR="00036D73" w:rsidRPr="00A20C78" w:rsidTr="00AE3C2A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Kultura a cestovní ruch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0,32</w:t>
            </w:r>
          </w:p>
        </w:tc>
      </w:tr>
      <w:tr w:rsidR="00036D73" w:rsidRPr="00A20C78" w:rsidTr="00AE3C2A">
        <w:trPr>
          <w:trHeight w:val="255"/>
        </w:trPr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Nízkoemisní mobilita městské dopravy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0,2</w:t>
            </w:r>
          </w:p>
        </w:tc>
      </w:tr>
      <w:tr w:rsidR="00036D73" w:rsidRPr="00A20C78" w:rsidTr="00AE3C2A">
        <w:trPr>
          <w:trHeight w:val="270"/>
        </w:trPr>
        <w:tc>
          <w:tcPr>
            <w:tcW w:w="11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Pražští hasiči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0,3</w:t>
            </w:r>
          </w:p>
        </w:tc>
      </w:tr>
      <w:tr w:rsidR="00036D73" w:rsidRPr="00A20C78" w:rsidTr="00A20C78">
        <w:trPr>
          <w:trHeight w:val="510"/>
        </w:trPr>
        <w:tc>
          <w:tcPr>
            <w:tcW w:w="1157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20C7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FEAD (MPSV)</w:t>
            </w:r>
          </w:p>
        </w:tc>
        <w:tc>
          <w:tcPr>
            <w:tcW w:w="6321" w:type="dxa"/>
            <w:tcBorders>
              <w:top w:val="single" w:sz="4" w:space="0" w:color="5B9BD5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Navýšení prostředků programu OP PMP (Operační program potravinové a materiální pomoci)</w:t>
            </w:r>
          </w:p>
        </w:tc>
        <w:tc>
          <w:tcPr>
            <w:tcW w:w="1574" w:type="dxa"/>
            <w:tcBorders>
              <w:top w:val="single" w:sz="4" w:space="0" w:color="5B9BD5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A20C78" w:rsidRDefault="00036D73" w:rsidP="00036D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20C78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0,5</w:t>
            </w:r>
          </w:p>
        </w:tc>
      </w:tr>
    </w:tbl>
    <w:p w:rsidR="00A20C78" w:rsidRPr="00996C49" w:rsidRDefault="00A20C78" w:rsidP="6FDF671D"/>
    <w:sectPr w:rsidR="00A20C78" w:rsidRPr="00996C49" w:rsidSect="0086062D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47B5" w16cex:dateUtc="2020-04-08T10:53:00Z"/>
  <w16cex:commentExtensible w16cex:durableId="22384833" w16cex:dateUtc="2020-04-08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640856" w16cid:durableId="2238438B"/>
  <w16cid:commentId w16cid:paraId="06EDDF91" w16cid:durableId="2238438C"/>
  <w16cid:commentId w16cid:paraId="25449685" w16cid:durableId="2238438D"/>
  <w16cid:commentId w16cid:paraId="44637944" w16cid:durableId="2238438E"/>
  <w16cid:commentId w16cid:paraId="514B9144" w16cid:durableId="223847B5"/>
  <w16cid:commentId w16cid:paraId="3672ADBF" w16cid:durableId="2238438F"/>
  <w16cid:commentId w16cid:paraId="617CCEC1" w16cid:durableId="22384390"/>
  <w16cid:commentId w16cid:paraId="3BA975AC" w16cid:durableId="22384833"/>
  <w16cid:commentId w16cid:paraId="41503CB8" w16cid:durableId="22384391"/>
  <w16cid:commentId w16cid:paraId="07CF51A8" w16cid:durableId="22384392"/>
  <w16cid:commentId w16cid:paraId="29F745BE" w16cid:durableId="22384393"/>
  <w16cid:commentId w16cid:paraId="29C207DE" w16cid:durableId="22384394"/>
  <w16cid:commentId w16cid:paraId="01FAF994" w16cid:durableId="22384395"/>
  <w16cid:commentId w16cid:paraId="274F8B02" w16cid:durableId="22384396"/>
  <w16cid:commentId w16cid:paraId="375CAC6D" w16cid:durableId="22384397"/>
  <w16cid:commentId w16cid:paraId="51063272" w16cid:durableId="22384398"/>
  <w16cid:commentId w16cid:paraId="475412E4" w16cid:durableId="22384399"/>
  <w16cid:commentId w16cid:paraId="65782548" w16cid:durableId="2238439A"/>
  <w16cid:commentId w16cid:paraId="10739943" w16cid:durableId="2238439B"/>
  <w16cid:commentId w16cid:paraId="5FE5500A" w16cid:durableId="2238439C"/>
  <w16cid:commentId w16cid:paraId="38280F15" w16cid:durableId="2238439D"/>
  <w16cid:commentId w16cid:paraId="1119FB4A" w16cid:durableId="2238439E"/>
  <w16cid:commentId w16cid:paraId="4C8A67AA" w16cid:durableId="2238439F"/>
  <w16cid:commentId w16cid:paraId="74B7CFFA" w16cid:durableId="223843A0"/>
  <w16cid:commentId w16cid:paraId="5CC7052B" w16cid:durableId="223843A1"/>
  <w16cid:commentId w16cid:paraId="423FBE32" w16cid:durableId="223843A2"/>
  <w16cid:commentId w16cid:paraId="1FACBE14" w16cid:durableId="223843A3"/>
  <w16cid:commentId w16cid:paraId="7AF5114B" w16cid:durableId="223843A4"/>
  <w16cid:commentId w16cid:paraId="4283D516" w16cid:durableId="223843A5"/>
  <w16cid:commentId w16cid:paraId="4C39E3B6" w16cid:durableId="223843A6"/>
  <w16cid:commentId w16cid:paraId="15A73985" w16cid:durableId="223843A7"/>
  <w16cid:commentId w16cid:paraId="3E854FE8" w16cid:durableId="223843A8"/>
  <w16cid:commentId w16cid:paraId="32552D45" w16cid:durableId="223843A9"/>
  <w16cid:commentId w16cid:paraId="370FA334" w16cid:durableId="223843AA"/>
  <w16cid:commentId w16cid:paraId="61F0E0A1" w16cid:durableId="223843AB"/>
  <w16cid:commentId w16cid:paraId="1BCFAE99" w16cid:durableId="223843AC"/>
  <w16cid:commentId w16cid:paraId="0DC5C6AB" w16cid:durableId="223843AD"/>
  <w16cid:commentId w16cid:paraId="3562818F" w16cid:durableId="223843AE"/>
  <w16cid:commentId w16cid:paraId="6ED25E90" w16cid:durableId="223843AF"/>
  <w16cid:commentId w16cid:paraId="6EB973D8" w16cid:durableId="223843B0"/>
  <w16cid:commentId w16cid:paraId="1F110D90" w16cid:durableId="223843B1"/>
  <w16cid:commentId w16cid:paraId="44D2679C" w16cid:durableId="2237CC9E"/>
  <w16cid:commentId w16cid:paraId="0CFF56CC" w16cid:durableId="223843B2"/>
  <w16cid:commentId w16cid:paraId="5D66477A" w16cid:durableId="223843B3"/>
  <w16cid:commentId w16cid:paraId="379DB206" w16cid:durableId="223843B4"/>
  <w16cid:commentId w16cid:paraId="75319768" w16cid:durableId="223843B5"/>
  <w16cid:commentId w16cid:paraId="127673F6" w16cid:durableId="223843B6"/>
  <w16cid:commentId w16cid:paraId="2D108C5D" w16cid:durableId="223843B7"/>
  <w16cid:commentId w16cid:paraId="6358DF03" w16cid:durableId="223843B8"/>
  <w16cid:commentId w16cid:paraId="4F936329" w16cid:durableId="223843B9"/>
  <w16cid:commentId w16cid:paraId="3D15373D" w16cid:durableId="223843BA"/>
  <w16cid:commentId w16cid:paraId="1A21D324" w16cid:durableId="223843BB"/>
  <w16cid:commentId w16cid:paraId="047C67BE" w16cid:durableId="223843BC"/>
  <w16cid:commentId w16cid:paraId="5A30985A" w16cid:durableId="223843BD"/>
  <w16cid:commentId w16cid:paraId="79B5EC24" w16cid:durableId="223843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61" w:rsidRDefault="00014361" w:rsidP="0086062D">
      <w:pPr>
        <w:spacing w:after="0" w:line="240" w:lineRule="auto"/>
      </w:pPr>
      <w:r>
        <w:separator/>
      </w:r>
    </w:p>
  </w:endnote>
  <w:endnote w:type="continuationSeparator" w:id="0">
    <w:p w:rsidR="00014361" w:rsidRDefault="00014361" w:rsidP="0086062D">
      <w:pPr>
        <w:spacing w:after="0" w:line="240" w:lineRule="auto"/>
      </w:pPr>
      <w:r>
        <w:continuationSeparator/>
      </w:r>
    </w:p>
  </w:endnote>
  <w:endnote w:type="continuationNotice" w:id="1">
    <w:p w:rsidR="00014361" w:rsidRDefault="00014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281016"/>
      <w:docPartObj>
        <w:docPartGallery w:val="Page Numbers (Bottom of Page)"/>
        <w:docPartUnique/>
      </w:docPartObj>
    </w:sdtPr>
    <w:sdtEndPr/>
    <w:sdtContent>
      <w:p w:rsidR="009314C9" w:rsidRDefault="009314C9" w:rsidP="008032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FDD">
          <w:rPr>
            <w:noProof/>
          </w:rPr>
          <w:t>2</w:t>
        </w:r>
        <w:r>
          <w:fldChar w:fldCharType="end"/>
        </w:r>
      </w:p>
    </w:sdtContent>
  </w:sdt>
  <w:p w:rsidR="009314C9" w:rsidRDefault="009314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C9" w:rsidRDefault="009314C9">
    <w:pPr>
      <w:pStyle w:val="Zpat"/>
    </w:pPr>
    <w:r>
      <w:rPr>
        <w:noProof/>
        <w:lang w:eastAsia="cs-CZ"/>
      </w:rPr>
      <w:drawing>
        <wp:inline distT="0" distB="0" distL="0" distR="0" wp14:anchorId="613C0DB8" wp14:editId="57E74530">
          <wp:extent cx="5760720" cy="428625"/>
          <wp:effectExtent l="0" t="0" r="0" b="9525"/>
          <wp:docPr id="118891197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61" w:rsidRDefault="00014361" w:rsidP="0086062D">
      <w:pPr>
        <w:spacing w:after="0" w:line="240" w:lineRule="auto"/>
      </w:pPr>
      <w:r>
        <w:separator/>
      </w:r>
    </w:p>
  </w:footnote>
  <w:footnote w:type="continuationSeparator" w:id="0">
    <w:p w:rsidR="00014361" w:rsidRDefault="00014361" w:rsidP="0086062D">
      <w:pPr>
        <w:spacing w:after="0" w:line="240" w:lineRule="auto"/>
      </w:pPr>
      <w:r>
        <w:continuationSeparator/>
      </w:r>
    </w:p>
  </w:footnote>
  <w:footnote w:type="continuationNotice" w:id="1">
    <w:p w:rsidR="00014361" w:rsidRDefault="00014361">
      <w:pPr>
        <w:spacing w:after="0" w:line="240" w:lineRule="auto"/>
      </w:pPr>
    </w:p>
  </w:footnote>
  <w:footnote w:id="2">
    <w:p w:rsidR="009314C9" w:rsidRDefault="009314C9">
      <w:pPr>
        <w:pStyle w:val="Textpoznpodarou"/>
      </w:pPr>
      <w:r w:rsidRPr="00B5336A">
        <w:rPr>
          <w:rStyle w:val="Znakapoznpodarou"/>
        </w:rPr>
        <w:footnoteRef/>
      </w:r>
      <w:r w:rsidRPr="00B5336A">
        <w:t xml:space="preserve"> </w:t>
      </w:r>
      <w:r w:rsidRPr="00B5336A">
        <w:rPr>
          <w:sz w:val="18"/>
          <w:szCs w:val="18"/>
        </w:rPr>
        <w:t xml:space="preserve">Návrh </w:t>
      </w:r>
      <w:r>
        <w:rPr>
          <w:sz w:val="18"/>
          <w:szCs w:val="18"/>
        </w:rPr>
        <w:t>n</w:t>
      </w:r>
      <w:r w:rsidRPr="00B5336A">
        <w:rPr>
          <w:sz w:val="18"/>
          <w:szCs w:val="18"/>
        </w:rPr>
        <w:t xml:space="preserve">ařízení Evropského parlamentu a Rady, kterým se mění nařízení (EU) č. 1303/2013, pokud jde </w:t>
      </w:r>
      <w:r w:rsidR="00B75F8B">
        <w:rPr>
          <w:sz w:val="18"/>
          <w:szCs w:val="18"/>
        </w:rPr>
        <w:br/>
      </w:r>
      <w:r w:rsidRPr="00B5336A">
        <w:rPr>
          <w:sz w:val="18"/>
          <w:szCs w:val="18"/>
        </w:rPr>
        <w:t>o mimořádné dodatečné zdroje a prováděcí opatření v rámci cíle Investice pro růst a zaměstnanost na pomoc při podpoře zotavení z krize v souvislosti s pandemií COVID-19 a přípravě ekologického, digitálního a odolného oživení hospodářství (</w:t>
      </w:r>
      <w:r w:rsidR="00F57625">
        <w:rPr>
          <w:sz w:val="18"/>
          <w:szCs w:val="18"/>
        </w:rPr>
        <w:t>React</w:t>
      </w:r>
      <w:r w:rsidRPr="00B5336A">
        <w:rPr>
          <w:sz w:val="18"/>
          <w:szCs w:val="18"/>
        </w:rPr>
        <w:t>EU); č. dokumentu Komise: COM(2020) 451</w:t>
      </w:r>
      <w:r>
        <w:rPr>
          <w:sz w:val="18"/>
          <w:szCs w:val="18"/>
        </w:rPr>
        <w:t>, ze dne 28. května 2020</w:t>
      </w:r>
    </w:p>
  </w:footnote>
  <w:footnote w:id="3">
    <w:p w:rsidR="009314C9" w:rsidRPr="00C65328" w:rsidRDefault="009314C9" w:rsidP="00456916">
      <w:pPr>
        <w:spacing w:after="0" w:line="240" w:lineRule="auto"/>
        <w:rPr>
          <w:rFonts w:cs="Arial"/>
          <w:szCs w:val="20"/>
          <w:highlight w:val="yellow"/>
        </w:rPr>
      </w:pPr>
      <w:r>
        <w:rPr>
          <w:rStyle w:val="Znakapoznpodarou"/>
        </w:rPr>
        <w:footnoteRef/>
      </w:r>
      <w:r>
        <w:t xml:space="preserve"> </w:t>
      </w:r>
      <w:r w:rsidRPr="00416B29">
        <w:rPr>
          <w:rFonts w:cs="Arial"/>
          <w:sz w:val="18"/>
          <w:szCs w:val="18"/>
        </w:rPr>
        <w:t xml:space="preserve">Původní návrh </w:t>
      </w:r>
      <w:r w:rsidR="007649E2">
        <w:rPr>
          <w:rFonts w:cs="Arial"/>
          <w:sz w:val="18"/>
          <w:szCs w:val="18"/>
        </w:rPr>
        <w:t>React</w:t>
      </w:r>
      <w:r>
        <w:rPr>
          <w:rFonts w:cs="Arial"/>
          <w:sz w:val="18"/>
          <w:szCs w:val="18"/>
        </w:rPr>
        <w:t>EU (</w:t>
      </w:r>
      <w:r w:rsidRPr="00416B29">
        <w:rPr>
          <w:rFonts w:cs="Arial"/>
          <w:sz w:val="18"/>
          <w:szCs w:val="18"/>
        </w:rPr>
        <w:t xml:space="preserve">COM(2020) 451 </w:t>
      </w:r>
      <w:r>
        <w:rPr>
          <w:rFonts w:cs="Arial"/>
          <w:sz w:val="18"/>
          <w:szCs w:val="18"/>
        </w:rPr>
        <w:t xml:space="preserve">ze dne 28. května) </w:t>
      </w:r>
      <w:r w:rsidRPr="00416B29">
        <w:rPr>
          <w:rFonts w:cs="Arial"/>
          <w:sz w:val="18"/>
          <w:szCs w:val="18"/>
        </w:rPr>
        <w:t xml:space="preserve">stanoví počáteční datum způsobilosti na datum odeslání revize programu do EK, jako </w:t>
      </w:r>
      <w:r>
        <w:rPr>
          <w:rFonts w:cs="Arial"/>
          <w:sz w:val="18"/>
          <w:szCs w:val="18"/>
        </w:rPr>
        <w:t xml:space="preserve">je </w:t>
      </w:r>
      <w:r w:rsidRPr="00416B29">
        <w:rPr>
          <w:rFonts w:cs="Arial"/>
          <w:sz w:val="18"/>
          <w:szCs w:val="18"/>
        </w:rPr>
        <w:t>tomu u běžných revizí. Kompromisní návrh Rady posouvá počátek způsobilosti na 1. února 2020, jako je tomu u nařízení CRII a CRII+.</w:t>
      </w:r>
      <w:r w:rsidRPr="00416B29">
        <w:rPr>
          <w:rFonts w:cs="Arial"/>
          <w:szCs w:val="20"/>
        </w:rPr>
        <w:t xml:space="preserve">  </w:t>
      </w:r>
    </w:p>
    <w:p w:rsidR="009314C9" w:rsidRDefault="009314C9">
      <w:pPr>
        <w:pStyle w:val="Textpoznpodarou"/>
      </w:pPr>
    </w:p>
  </w:footnote>
  <w:footnote w:id="4">
    <w:p w:rsidR="009314C9" w:rsidRDefault="009314C9">
      <w:pPr>
        <w:pStyle w:val="Textpoznpodarou"/>
      </w:pPr>
      <w:r w:rsidRPr="00933EC0">
        <w:rPr>
          <w:rStyle w:val="Znakapoznpodarou"/>
        </w:rPr>
        <w:footnoteRef/>
      </w:r>
      <w:r w:rsidRPr="00933EC0">
        <w:t xml:space="preserve"> </w:t>
      </w:r>
      <w:r w:rsidRPr="00933EC0">
        <w:rPr>
          <w:rFonts w:cs="Arial"/>
          <w:sz w:val="18"/>
          <w:szCs w:val="18"/>
        </w:rPr>
        <w:t>viz kapitola 5. Příloha</w:t>
      </w:r>
    </w:p>
  </w:footnote>
  <w:footnote w:id="5">
    <w:p w:rsidR="009314C9" w:rsidRDefault="009314C9">
      <w:pPr>
        <w:pStyle w:val="Textpoznpodarou"/>
      </w:pPr>
      <w:r>
        <w:rPr>
          <w:rStyle w:val="Znakapoznpodarou"/>
        </w:rPr>
        <w:footnoteRef/>
      </w:r>
      <w:r>
        <w:t xml:space="preserve"> Není zjevné ze závěrů EUCO, bude muset být ověřeno.</w:t>
      </w:r>
    </w:p>
  </w:footnote>
  <w:footnote w:id="6">
    <w:p w:rsidR="009314C9" w:rsidRDefault="009314C9" w:rsidP="00456916">
      <w:pPr>
        <w:spacing w:after="0" w:line="240" w:lineRule="auto"/>
        <w:rPr>
          <w:rFonts w:cs="Arial"/>
          <w:sz w:val="18"/>
          <w:szCs w:val="18"/>
        </w:rPr>
      </w:pPr>
      <w:r w:rsidRPr="00DC19E2">
        <w:rPr>
          <w:rStyle w:val="Znakapoznpodarou"/>
          <w:sz w:val="18"/>
          <w:szCs w:val="18"/>
        </w:rPr>
        <w:footnoteRef/>
      </w:r>
      <w:r w:rsidRPr="00DC19E2">
        <w:rPr>
          <w:sz w:val="18"/>
          <w:szCs w:val="18"/>
        </w:rPr>
        <w:t xml:space="preserve"> </w:t>
      </w:r>
      <w:r w:rsidRPr="00DC19E2">
        <w:rPr>
          <w:rFonts w:cs="Arial"/>
          <w:sz w:val="18"/>
          <w:szCs w:val="18"/>
        </w:rPr>
        <w:t>Jedná se o tzv. Investiční iniciativu pro reakci na koronavirus (CRII), která zavádí legislativní změny, jež vstoupily v platnost od 1. dubna 2020.</w:t>
      </w:r>
      <w:r w:rsidRPr="00DC19E2">
        <w:rPr>
          <w:sz w:val="18"/>
          <w:szCs w:val="18"/>
        </w:rPr>
        <w:t xml:space="preserve"> </w:t>
      </w:r>
      <w:r w:rsidRPr="00DC19E2">
        <w:rPr>
          <w:rFonts w:cs="Arial"/>
          <w:sz w:val="18"/>
          <w:szCs w:val="18"/>
        </w:rPr>
        <w:t>Dne 24. dubna 2020 vstoupila v platnost druhá sada legislativních úprav, tzv. CRII</w:t>
      </w:r>
      <w:r>
        <w:rPr>
          <w:rFonts w:cs="Arial"/>
          <w:sz w:val="18"/>
          <w:szCs w:val="18"/>
        </w:rPr>
        <w:t>+</w:t>
      </w:r>
      <w:r w:rsidRPr="00DC19E2">
        <w:rPr>
          <w:rFonts w:cs="Arial"/>
          <w:sz w:val="18"/>
          <w:szCs w:val="18"/>
        </w:rPr>
        <w:t>,</w:t>
      </w:r>
      <w:r w:rsidRPr="00DC19E2" w:rsidDel="0007021A">
        <w:rPr>
          <w:rFonts w:cs="Arial"/>
          <w:sz w:val="18"/>
          <w:szCs w:val="18"/>
        </w:rPr>
        <w:t xml:space="preserve"> </w:t>
      </w:r>
      <w:r w:rsidRPr="00DC19E2">
        <w:rPr>
          <w:rFonts w:cs="Arial"/>
          <w:sz w:val="18"/>
          <w:szCs w:val="18"/>
        </w:rPr>
        <w:t xml:space="preserve">obsahující změny nařízení umožňující větší flexibilitu při využívání ESIF v reakci na pandemii.   </w:t>
      </w:r>
    </w:p>
    <w:p w:rsidR="009314C9" w:rsidRPr="005E2542" w:rsidRDefault="009314C9" w:rsidP="00456916">
      <w:pPr>
        <w:spacing w:after="0" w:line="240" w:lineRule="auto"/>
        <w:rPr>
          <w:sz w:val="18"/>
          <w:szCs w:val="18"/>
        </w:rPr>
      </w:pPr>
      <w:r w:rsidRPr="005031FF">
        <w:rPr>
          <w:rFonts w:cs="Arial"/>
          <w:sz w:val="18"/>
          <w:szCs w:val="18"/>
        </w:rPr>
        <w:t xml:space="preserve">Více viz </w:t>
      </w:r>
      <w:r>
        <w:rPr>
          <w:rFonts w:cs="Arial"/>
          <w:sz w:val="18"/>
          <w:szCs w:val="18"/>
        </w:rPr>
        <w:t>n</w:t>
      </w:r>
      <w:r w:rsidRPr="005031FF">
        <w:rPr>
          <w:rFonts w:cs="Arial"/>
          <w:sz w:val="18"/>
          <w:szCs w:val="18"/>
        </w:rPr>
        <w:t xml:space="preserve">ařízení Evropského parlamentu a Rady (EU) 2020/460 ze dne 30. března 2020 (CRII) a </w:t>
      </w:r>
      <w:r>
        <w:rPr>
          <w:rFonts w:cs="Arial"/>
          <w:sz w:val="18"/>
          <w:szCs w:val="18"/>
        </w:rPr>
        <w:t>n</w:t>
      </w:r>
      <w:r w:rsidRPr="005031FF">
        <w:rPr>
          <w:rFonts w:cs="Arial"/>
          <w:sz w:val="18"/>
          <w:szCs w:val="18"/>
        </w:rPr>
        <w:t>ařízení Evropského parlamentu a Rady (EU) 2020/558 ze dne 23. dubna 2020 (CRII</w:t>
      </w:r>
      <w:r>
        <w:rPr>
          <w:rFonts w:cs="Arial"/>
          <w:sz w:val="18"/>
          <w:szCs w:val="18"/>
        </w:rPr>
        <w:t>+</w:t>
      </w:r>
      <w:r w:rsidRPr="005031FF">
        <w:rPr>
          <w:rFonts w:cs="Arial"/>
          <w:sz w:val="18"/>
          <w:szCs w:val="18"/>
        </w:rPr>
        <w:t>)</w:t>
      </w:r>
    </w:p>
  </w:footnote>
  <w:footnote w:id="7">
    <w:p w:rsidR="009314C9" w:rsidRPr="005E2542" w:rsidRDefault="009314C9" w:rsidP="00456916">
      <w:pPr>
        <w:spacing w:after="0" w:line="240" w:lineRule="auto"/>
        <w:rPr>
          <w:rFonts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E2542">
        <w:rPr>
          <w:rFonts w:cs="Arial"/>
          <w:sz w:val="18"/>
          <w:szCs w:val="18"/>
        </w:rPr>
        <w:t xml:space="preserve">Projekt </w:t>
      </w:r>
      <w:r w:rsidR="005969A6">
        <w:rPr>
          <w:rFonts w:cs="Arial"/>
          <w:szCs w:val="20"/>
        </w:rPr>
        <w:t xml:space="preserve">“OUTPLACEMENT (OUT)“ </w:t>
      </w:r>
      <w:r w:rsidRPr="005E2542">
        <w:rPr>
          <w:rFonts w:cs="Arial"/>
          <w:sz w:val="18"/>
          <w:szCs w:val="18"/>
        </w:rPr>
        <w:t xml:space="preserve">je zaměřen na pomoc zaměstnancům podniků, kteří jsou ohroženi ztrátou zaměstnání nebo jsou již ve výpovědní době a na zvýšení adaptability těchto zaměstnanců pro nalezení nového pracovního uplatnění. </w:t>
      </w:r>
    </w:p>
    <w:p w:rsidR="009314C9" w:rsidRPr="005E2542" w:rsidRDefault="009314C9" w:rsidP="00456916">
      <w:pPr>
        <w:spacing w:after="0" w:line="240" w:lineRule="auto"/>
        <w:rPr>
          <w:rFonts w:cs="Arial"/>
          <w:sz w:val="18"/>
          <w:szCs w:val="18"/>
        </w:rPr>
      </w:pPr>
      <w:r w:rsidRPr="005E2542">
        <w:rPr>
          <w:rFonts w:cs="Arial"/>
          <w:sz w:val="18"/>
          <w:szCs w:val="18"/>
        </w:rPr>
        <w:t>Primárním cílem projektu je pomoci zaměstnancům ještě před ukončením jejich pracovního poměru, tedy v době, kdy ještě nejsou nezaměstnaní a nejsou vedeni v evidenci Úřadu práce ČR jako uchazeči o zaměstnání.</w:t>
      </w:r>
    </w:p>
    <w:p w:rsidR="009314C9" w:rsidRDefault="009314C9">
      <w:pPr>
        <w:pStyle w:val="Textpoznpodarou"/>
      </w:pPr>
    </w:p>
  </w:footnote>
  <w:footnote w:id="8">
    <w:p w:rsidR="000550F9" w:rsidRDefault="000550F9">
      <w:pPr>
        <w:pStyle w:val="Textpoznpodarou"/>
      </w:pPr>
      <w:r>
        <w:rPr>
          <w:rStyle w:val="Znakapoznpodarou"/>
        </w:rPr>
        <w:footnoteRef/>
      </w:r>
      <w:r>
        <w:t xml:space="preserve"> Stálé ceny roku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C9" w:rsidRPr="0086062D" w:rsidRDefault="009314C9" w:rsidP="0086062D">
    <w:pPr>
      <w:pStyle w:val="Zhlav"/>
      <w:jc w:val="right"/>
      <w:rPr>
        <w:b/>
        <w:sz w:val="24"/>
        <w:szCs w:val="24"/>
      </w:rPr>
    </w:pPr>
    <w:r w:rsidRPr="0086062D">
      <w:rPr>
        <w:b/>
        <w:sz w:val="24"/>
        <w:szCs w:val="24"/>
      </w:rPr>
      <w:t>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4F7"/>
    <w:multiLevelType w:val="hybridMultilevel"/>
    <w:tmpl w:val="62CA5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289"/>
    <w:multiLevelType w:val="hybridMultilevel"/>
    <w:tmpl w:val="EC5C3990"/>
    <w:lvl w:ilvl="0" w:tplc="3822FAE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2FD"/>
    <w:multiLevelType w:val="hybridMultilevel"/>
    <w:tmpl w:val="B4A481CA"/>
    <w:lvl w:ilvl="0" w:tplc="EE40C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0E54"/>
    <w:multiLevelType w:val="multilevel"/>
    <w:tmpl w:val="B26EC2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23CA4"/>
    <w:multiLevelType w:val="hybridMultilevel"/>
    <w:tmpl w:val="40E64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7637"/>
    <w:multiLevelType w:val="hybridMultilevel"/>
    <w:tmpl w:val="2B2ED4DE"/>
    <w:lvl w:ilvl="0" w:tplc="6028324C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FB6C808">
      <w:numFmt w:val="bullet"/>
      <w:lvlText w:val="–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E4E"/>
    <w:multiLevelType w:val="hybridMultilevel"/>
    <w:tmpl w:val="DB026A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931FE"/>
    <w:multiLevelType w:val="multilevel"/>
    <w:tmpl w:val="DD581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594B92"/>
    <w:multiLevelType w:val="hybridMultilevel"/>
    <w:tmpl w:val="DF14A33A"/>
    <w:lvl w:ilvl="0" w:tplc="6028324C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9092A"/>
    <w:multiLevelType w:val="hybridMultilevel"/>
    <w:tmpl w:val="54A6C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8791A"/>
    <w:multiLevelType w:val="hybridMultilevel"/>
    <w:tmpl w:val="99EED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387C"/>
    <w:multiLevelType w:val="hybridMultilevel"/>
    <w:tmpl w:val="7A52F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13744"/>
    <w:multiLevelType w:val="multilevel"/>
    <w:tmpl w:val="DD581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5507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B76BA"/>
    <w:multiLevelType w:val="hybridMultilevel"/>
    <w:tmpl w:val="E21E1300"/>
    <w:lvl w:ilvl="0" w:tplc="EE40C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12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49"/>
    <w:rsid w:val="00000352"/>
    <w:rsid w:val="000009BC"/>
    <w:rsid w:val="000018F6"/>
    <w:rsid w:val="00002B88"/>
    <w:rsid w:val="00003B5B"/>
    <w:rsid w:val="00004B28"/>
    <w:rsid w:val="000057DB"/>
    <w:rsid w:val="0000706A"/>
    <w:rsid w:val="00007ECC"/>
    <w:rsid w:val="00010957"/>
    <w:rsid w:val="00012331"/>
    <w:rsid w:val="00013420"/>
    <w:rsid w:val="00014361"/>
    <w:rsid w:val="0001444C"/>
    <w:rsid w:val="0001460B"/>
    <w:rsid w:val="000147AC"/>
    <w:rsid w:val="00014E6A"/>
    <w:rsid w:val="00015067"/>
    <w:rsid w:val="00015612"/>
    <w:rsid w:val="00015BB0"/>
    <w:rsid w:val="00015C25"/>
    <w:rsid w:val="0002031E"/>
    <w:rsid w:val="00021976"/>
    <w:rsid w:val="000221E7"/>
    <w:rsid w:val="00022790"/>
    <w:rsid w:val="000229E6"/>
    <w:rsid w:val="00023FF5"/>
    <w:rsid w:val="00024C4A"/>
    <w:rsid w:val="00026993"/>
    <w:rsid w:val="0003198D"/>
    <w:rsid w:val="00031D00"/>
    <w:rsid w:val="0003327D"/>
    <w:rsid w:val="00036D73"/>
    <w:rsid w:val="000376F2"/>
    <w:rsid w:val="000379B1"/>
    <w:rsid w:val="0004221A"/>
    <w:rsid w:val="000424E8"/>
    <w:rsid w:val="00042772"/>
    <w:rsid w:val="000430F4"/>
    <w:rsid w:val="00044B28"/>
    <w:rsid w:val="000450C1"/>
    <w:rsid w:val="000452E3"/>
    <w:rsid w:val="00045C68"/>
    <w:rsid w:val="00046B7E"/>
    <w:rsid w:val="00047150"/>
    <w:rsid w:val="00050439"/>
    <w:rsid w:val="000507DF"/>
    <w:rsid w:val="00053E3F"/>
    <w:rsid w:val="000550F9"/>
    <w:rsid w:val="00055134"/>
    <w:rsid w:val="00056E1B"/>
    <w:rsid w:val="00057C7D"/>
    <w:rsid w:val="00060353"/>
    <w:rsid w:val="00061214"/>
    <w:rsid w:val="00062239"/>
    <w:rsid w:val="00062D4A"/>
    <w:rsid w:val="00063C4C"/>
    <w:rsid w:val="00063E0C"/>
    <w:rsid w:val="0006439F"/>
    <w:rsid w:val="00065351"/>
    <w:rsid w:val="00065504"/>
    <w:rsid w:val="0007021A"/>
    <w:rsid w:val="000703B4"/>
    <w:rsid w:val="000726D5"/>
    <w:rsid w:val="000727DA"/>
    <w:rsid w:val="00072A18"/>
    <w:rsid w:val="0007405D"/>
    <w:rsid w:val="0007412F"/>
    <w:rsid w:val="0007445F"/>
    <w:rsid w:val="000767F5"/>
    <w:rsid w:val="00080749"/>
    <w:rsid w:val="000812CE"/>
    <w:rsid w:val="00081DCC"/>
    <w:rsid w:val="00081F59"/>
    <w:rsid w:val="00083983"/>
    <w:rsid w:val="00084FEA"/>
    <w:rsid w:val="0008593D"/>
    <w:rsid w:val="0008595E"/>
    <w:rsid w:val="00085B77"/>
    <w:rsid w:val="00087963"/>
    <w:rsid w:val="000902FC"/>
    <w:rsid w:val="000911C0"/>
    <w:rsid w:val="00091901"/>
    <w:rsid w:val="00092110"/>
    <w:rsid w:val="00093EB3"/>
    <w:rsid w:val="00096482"/>
    <w:rsid w:val="000A0332"/>
    <w:rsid w:val="000A05BD"/>
    <w:rsid w:val="000A226F"/>
    <w:rsid w:val="000A2F9E"/>
    <w:rsid w:val="000A34BB"/>
    <w:rsid w:val="000A46B1"/>
    <w:rsid w:val="000A5C53"/>
    <w:rsid w:val="000A7714"/>
    <w:rsid w:val="000B0276"/>
    <w:rsid w:val="000B02FA"/>
    <w:rsid w:val="000B0C82"/>
    <w:rsid w:val="000B1707"/>
    <w:rsid w:val="000B192E"/>
    <w:rsid w:val="000B2B0B"/>
    <w:rsid w:val="000B4BD9"/>
    <w:rsid w:val="000B6761"/>
    <w:rsid w:val="000B67F1"/>
    <w:rsid w:val="000B7C34"/>
    <w:rsid w:val="000C032A"/>
    <w:rsid w:val="000C13A5"/>
    <w:rsid w:val="000C1477"/>
    <w:rsid w:val="000C19F6"/>
    <w:rsid w:val="000C3585"/>
    <w:rsid w:val="000C3879"/>
    <w:rsid w:val="000C4FD7"/>
    <w:rsid w:val="000C501E"/>
    <w:rsid w:val="000C5933"/>
    <w:rsid w:val="000C6107"/>
    <w:rsid w:val="000C75BF"/>
    <w:rsid w:val="000C7671"/>
    <w:rsid w:val="000C7977"/>
    <w:rsid w:val="000C7BDB"/>
    <w:rsid w:val="000D15E2"/>
    <w:rsid w:val="000D2096"/>
    <w:rsid w:val="000D26C3"/>
    <w:rsid w:val="000D4CCE"/>
    <w:rsid w:val="000D6912"/>
    <w:rsid w:val="000D7358"/>
    <w:rsid w:val="000E3163"/>
    <w:rsid w:val="000E4DFF"/>
    <w:rsid w:val="000E5667"/>
    <w:rsid w:val="000E723F"/>
    <w:rsid w:val="000E727A"/>
    <w:rsid w:val="000E7643"/>
    <w:rsid w:val="000F1698"/>
    <w:rsid w:val="000F1846"/>
    <w:rsid w:val="000F31F6"/>
    <w:rsid w:val="000F3EEE"/>
    <w:rsid w:val="000F4281"/>
    <w:rsid w:val="000F565A"/>
    <w:rsid w:val="00101B10"/>
    <w:rsid w:val="001034BD"/>
    <w:rsid w:val="001058E8"/>
    <w:rsid w:val="0010735E"/>
    <w:rsid w:val="00107826"/>
    <w:rsid w:val="00107D3C"/>
    <w:rsid w:val="0011052D"/>
    <w:rsid w:val="00110B7C"/>
    <w:rsid w:val="0011256D"/>
    <w:rsid w:val="00114724"/>
    <w:rsid w:val="00116284"/>
    <w:rsid w:val="00117541"/>
    <w:rsid w:val="00117587"/>
    <w:rsid w:val="00117692"/>
    <w:rsid w:val="001214A9"/>
    <w:rsid w:val="00121AE6"/>
    <w:rsid w:val="00121D11"/>
    <w:rsid w:val="00121E36"/>
    <w:rsid w:val="001230C2"/>
    <w:rsid w:val="001266D5"/>
    <w:rsid w:val="0012700E"/>
    <w:rsid w:val="001274D7"/>
    <w:rsid w:val="001300CF"/>
    <w:rsid w:val="001302AB"/>
    <w:rsid w:val="00130A51"/>
    <w:rsid w:val="0013194B"/>
    <w:rsid w:val="00132486"/>
    <w:rsid w:val="00133A09"/>
    <w:rsid w:val="00134413"/>
    <w:rsid w:val="0013450B"/>
    <w:rsid w:val="00135DCE"/>
    <w:rsid w:val="00137C7E"/>
    <w:rsid w:val="001405E8"/>
    <w:rsid w:val="001405EE"/>
    <w:rsid w:val="00140EF9"/>
    <w:rsid w:val="0014102D"/>
    <w:rsid w:val="001419E8"/>
    <w:rsid w:val="0014296A"/>
    <w:rsid w:val="00143021"/>
    <w:rsid w:val="00143CE1"/>
    <w:rsid w:val="00144179"/>
    <w:rsid w:val="00144619"/>
    <w:rsid w:val="00144D56"/>
    <w:rsid w:val="00145927"/>
    <w:rsid w:val="00145A89"/>
    <w:rsid w:val="001469EC"/>
    <w:rsid w:val="00146AFF"/>
    <w:rsid w:val="001470CC"/>
    <w:rsid w:val="00150021"/>
    <w:rsid w:val="00151384"/>
    <w:rsid w:val="00152996"/>
    <w:rsid w:val="001532B3"/>
    <w:rsid w:val="00154E1F"/>
    <w:rsid w:val="00156876"/>
    <w:rsid w:val="00160106"/>
    <w:rsid w:val="00162155"/>
    <w:rsid w:val="001629B9"/>
    <w:rsid w:val="00162E27"/>
    <w:rsid w:val="0016565E"/>
    <w:rsid w:val="001661FE"/>
    <w:rsid w:val="00166349"/>
    <w:rsid w:val="0016737A"/>
    <w:rsid w:val="00167E0B"/>
    <w:rsid w:val="00170219"/>
    <w:rsid w:val="00170DF6"/>
    <w:rsid w:val="0017146E"/>
    <w:rsid w:val="001715A0"/>
    <w:rsid w:val="00171A48"/>
    <w:rsid w:val="00172379"/>
    <w:rsid w:val="00172BD5"/>
    <w:rsid w:val="001730EA"/>
    <w:rsid w:val="001747F1"/>
    <w:rsid w:val="00174C50"/>
    <w:rsid w:val="00176300"/>
    <w:rsid w:val="001800C9"/>
    <w:rsid w:val="00180201"/>
    <w:rsid w:val="0018027F"/>
    <w:rsid w:val="00180509"/>
    <w:rsid w:val="00180C2F"/>
    <w:rsid w:val="00181AA1"/>
    <w:rsid w:val="0018295B"/>
    <w:rsid w:val="001830A3"/>
    <w:rsid w:val="00183381"/>
    <w:rsid w:val="00183710"/>
    <w:rsid w:val="001845AD"/>
    <w:rsid w:val="0018671D"/>
    <w:rsid w:val="00186BEB"/>
    <w:rsid w:val="00190154"/>
    <w:rsid w:val="00190D52"/>
    <w:rsid w:val="001925FC"/>
    <w:rsid w:val="001935E4"/>
    <w:rsid w:val="0019429E"/>
    <w:rsid w:val="00196307"/>
    <w:rsid w:val="00197EE3"/>
    <w:rsid w:val="001A064D"/>
    <w:rsid w:val="001A114C"/>
    <w:rsid w:val="001A45BA"/>
    <w:rsid w:val="001A586C"/>
    <w:rsid w:val="001A6D64"/>
    <w:rsid w:val="001B0773"/>
    <w:rsid w:val="001B1B58"/>
    <w:rsid w:val="001B1C9A"/>
    <w:rsid w:val="001B1FC9"/>
    <w:rsid w:val="001B28AF"/>
    <w:rsid w:val="001B2B66"/>
    <w:rsid w:val="001B308C"/>
    <w:rsid w:val="001B4AB9"/>
    <w:rsid w:val="001B5746"/>
    <w:rsid w:val="001C067E"/>
    <w:rsid w:val="001C2965"/>
    <w:rsid w:val="001C350E"/>
    <w:rsid w:val="001C3851"/>
    <w:rsid w:val="001C4644"/>
    <w:rsid w:val="001C54D0"/>
    <w:rsid w:val="001C68E0"/>
    <w:rsid w:val="001C6E35"/>
    <w:rsid w:val="001C6F00"/>
    <w:rsid w:val="001D0292"/>
    <w:rsid w:val="001D148E"/>
    <w:rsid w:val="001D231F"/>
    <w:rsid w:val="001D4880"/>
    <w:rsid w:val="001D691F"/>
    <w:rsid w:val="001D7627"/>
    <w:rsid w:val="001E08FA"/>
    <w:rsid w:val="001E281B"/>
    <w:rsid w:val="001E4650"/>
    <w:rsid w:val="001E4F54"/>
    <w:rsid w:val="001E71D0"/>
    <w:rsid w:val="001E7D69"/>
    <w:rsid w:val="001E7D9C"/>
    <w:rsid w:val="001F0875"/>
    <w:rsid w:val="001F1D79"/>
    <w:rsid w:val="001F2216"/>
    <w:rsid w:val="001F245D"/>
    <w:rsid w:val="001F2766"/>
    <w:rsid w:val="001F3BF5"/>
    <w:rsid w:val="001F4D14"/>
    <w:rsid w:val="001F6CDC"/>
    <w:rsid w:val="001F7BCF"/>
    <w:rsid w:val="002002F6"/>
    <w:rsid w:val="002012B2"/>
    <w:rsid w:val="00202550"/>
    <w:rsid w:val="0020452F"/>
    <w:rsid w:val="002045F3"/>
    <w:rsid w:val="0020461B"/>
    <w:rsid w:val="00205511"/>
    <w:rsid w:val="0020579F"/>
    <w:rsid w:val="00205BFA"/>
    <w:rsid w:val="00206EA8"/>
    <w:rsid w:val="00207280"/>
    <w:rsid w:val="002104E3"/>
    <w:rsid w:val="00211204"/>
    <w:rsid w:val="0021166E"/>
    <w:rsid w:val="00211701"/>
    <w:rsid w:val="002121A3"/>
    <w:rsid w:val="00213E7E"/>
    <w:rsid w:val="002140DE"/>
    <w:rsid w:val="0021414E"/>
    <w:rsid w:val="002143D8"/>
    <w:rsid w:val="00214DA5"/>
    <w:rsid w:val="00216034"/>
    <w:rsid w:val="002164DE"/>
    <w:rsid w:val="00216A14"/>
    <w:rsid w:val="00220148"/>
    <w:rsid w:val="00221A75"/>
    <w:rsid w:val="00221CF9"/>
    <w:rsid w:val="00223287"/>
    <w:rsid w:val="0022369D"/>
    <w:rsid w:val="00224907"/>
    <w:rsid w:val="00224D6C"/>
    <w:rsid w:val="00226FEB"/>
    <w:rsid w:val="002326E0"/>
    <w:rsid w:val="002326FC"/>
    <w:rsid w:val="00233388"/>
    <w:rsid w:val="002333D6"/>
    <w:rsid w:val="0023390F"/>
    <w:rsid w:val="002342DC"/>
    <w:rsid w:val="00236784"/>
    <w:rsid w:val="002377E6"/>
    <w:rsid w:val="002402F2"/>
    <w:rsid w:val="002405D0"/>
    <w:rsid w:val="0024087D"/>
    <w:rsid w:val="0024258C"/>
    <w:rsid w:val="002431CE"/>
    <w:rsid w:val="002433E2"/>
    <w:rsid w:val="00244D64"/>
    <w:rsid w:val="00246027"/>
    <w:rsid w:val="0024621D"/>
    <w:rsid w:val="0024695B"/>
    <w:rsid w:val="0024696F"/>
    <w:rsid w:val="002506FD"/>
    <w:rsid w:val="00250ABE"/>
    <w:rsid w:val="002527AF"/>
    <w:rsid w:val="002538B2"/>
    <w:rsid w:val="00253C42"/>
    <w:rsid w:val="002540F6"/>
    <w:rsid w:val="00254DC5"/>
    <w:rsid w:val="0025786C"/>
    <w:rsid w:val="00260817"/>
    <w:rsid w:val="00261076"/>
    <w:rsid w:val="002615B4"/>
    <w:rsid w:val="00262531"/>
    <w:rsid w:val="00267BC2"/>
    <w:rsid w:val="00270869"/>
    <w:rsid w:val="00270C6A"/>
    <w:rsid w:val="002715A7"/>
    <w:rsid w:val="002736CC"/>
    <w:rsid w:val="00274426"/>
    <w:rsid w:val="00280B17"/>
    <w:rsid w:val="00281C8C"/>
    <w:rsid w:val="00282320"/>
    <w:rsid w:val="00282747"/>
    <w:rsid w:val="00282CCA"/>
    <w:rsid w:val="00282DDD"/>
    <w:rsid w:val="00283938"/>
    <w:rsid w:val="00283B10"/>
    <w:rsid w:val="00283D1F"/>
    <w:rsid w:val="00284969"/>
    <w:rsid w:val="002856DF"/>
    <w:rsid w:val="0028651A"/>
    <w:rsid w:val="002869F6"/>
    <w:rsid w:val="00286ECB"/>
    <w:rsid w:val="0028750F"/>
    <w:rsid w:val="0029181D"/>
    <w:rsid w:val="00293398"/>
    <w:rsid w:val="00293553"/>
    <w:rsid w:val="00295A0C"/>
    <w:rsid w:val="00295DC4"/>
    <w:rsid w:val="002975BD"/>
    <w:rsid w:val="002A0711"/>
    <w:rsid w:val="002A0EED"/>
    <w:rsid w:val="002A21DD"/>
    <w:rsid w:val="002A2B8A"/>
    <w:rsid w:val="002A52B8"/>
    <w:rsid w:val="002A7550"/>
    <w:rsid w:val="002A7BF1"/>
    <w:rsid w:val="002B035D"/>
    <w:rsid w:val="002B068A"/>
    <w:rsid w:val="002B15FA"/>
    <w:rsid w:val="002B1AEC"/>
    <w:rsid w:val="002B205D"/>
    <w:rsid w:val="002B34B9"/>
    <w:rsid w:val="002B38E7"/>
    <w:rsid w:val="002B529C"/>
    <w:rsid w:val="002B7610"/>
    <w:rsid w:val="002C1233"/>
    <w:rsid w:val="002C2501"/>
    <w:rsid w:val="002C341E"/>
    <w:rsid w:val="002C74B9"/>
    <w:rsid w:val="002D0678"/>
    <w:rsid w:val="002D24CE"/>
    <w:rsid w:val="002D2B62"/>
    <w:rsid w:val="002D3782"/>
    <w:rsid w:val="002D5307"/>
    <w:rsid w:val="002D66B8"/>
    <w:rsid w:val="002D6F44"/>
    <w:rsid w:val="002D72EE"/>
    <w:rsid w:val="002D7E13"/>
    <w:rsid w:val="002E122E"/>
    <w:rsid w:val="002E20EB"/>
    <w:rsid w:val="002E217A"/>
    <w:rsid w:val="002E25D4"/>
    <w:rsid w:val="002E2CA5"/>
    <w:rsid w:val="002E2FE7"/>
    <w:rsid w:val="002E32A3"/>
    <w:rsid w:val="002E369A"/>
    <w:rsid w:val="002E5B7F"/>
    <w:rsid w:val="002E6034"/>
    <w:rsid w:val="002E6367"/>
    <w:rsid w:val="002E6A46"/>
    <w:rsid w:val="002F6970"/>
    <w:rsid w:val="002F78D6"/>
    <w:rsid w:val="002F7948"/>
    <w:rsid w:val="003008A2"/>
    <w:rsid w:val="00300EF3"/>
    <w:rsid w:val="003022D6"/>
    <w:rsid w:val="00303306"/>
    <w:rsid w:val="00303431"/>
    <w:rsid w:val="00303937"/>
    <w:rsid w:val="00305F5A"/>
    <w:rsid w:val="003064A2"/>
    <w:rsid w:val="003065DE"/>
    <w:rsid w:val="00307991"/>
    <w:rsid w:val="00307FF8"/>
    <w:rsid w:val="0031059C"/>
    <w:rsid w:val="00310722"/>
    <w:rsid w:val="00311033"/>
    <w:rsid w:val="0031445D"/>
    <w:rsid w:val="003146B0"/>
    <w:rsid w:val="00316A7C"/>
    <w:rsid w:val="0031734D"/>
    <w:rsid w:val="00317648"/>
    <w:rsid w:val="003219B2"/>
    <w:rsid w:val="00322712"/>
    <w:rsid w:val="00322DA5"/>
    <w:rsid w:val="003232CA"/>
    <w:rsid w:val="00323EA7"/>
    <w:rsid w:val="0032491A"/>
    <w:rsid w:val="00324AD1"/>
    <w:rsid w:val="00325670"/>
    <w:rsid w:val="00325AEB"/>
    <w:rsid w:val="00326B60"/>
    <w:rsid w:val="003278BE"/>
    <w:rsid w:val="00330288"/>
    <w:rsid w:val="0033064E"/>
    <w:rsid w:val="00330686"/>
    <w:rsid w:val="00331EFC"/>
    <w:rsid w:val="003335AF"/>
    <w:rsid w:val="00333AED"/>
    <w:rsid w:val="00337F89"/>
    <w:rsid w:val="003436A5"/>
    <w:rsid w:val="0034419D"/>
    <w:rsid w:val="0034559F"/>
    <w:rsid w:val="00345A98"/>
    <w:rsid w:val="0034739E"/>
    <w:rsid w:val="003476A5"/>
    <w:rsid w:val="00350FF3"/>
    <w:rsid w:val="00352DA4"/>
    <w:rsid w:val="00354978"/>
    <w:rsid w:val="003562AF"/>
    <w:rsid w:val="00356628"/>
    <w:rsid w:val="003574A0"/>
    <w:rsid w:val="00357537"/>
    <w:rsid w:val="00362E70"/>
    <w:rsid w:val="0036306A"/>
    <w:rsid w:val="00364C36"/>
    <w:rsid w:val="00365284"/>
    <w:rsid w:val="00366A03"/>
    <w:rsid w:val="00366BE3"/>
    <w:rsid w:val="0037065B"/>
    <w:rsid w:val="00370CF3"/>
    <w:rsid w:val="003715EE"/>
    <w:rsid w:val="00372509"/>
    <w:rsid w:val="00372FF8"/>
    <w:rsid w:val="0037510D"/>
    <w:rsid w:val="003753CD"/>
    <w:rsid w:val="003756EE"/>
    <w:rsid w:val="003805FE"/>
    <w:rsid w:val="003818C1"/>
    <w:rsid w:val="00381CDC"/>
    <w:rsid w:val="00382A60"/>
    <w:rsid w:val="003854D6"/>
    <w:rsid w:val="00385A55"/>
    <w:rsid w:val="00385B5A"/>
    <w:rsid w:val="003875A9"/>
    <w:rsid w:val="00387B3D"/>
    <w:rsid w:val="00390EB8"/>
    <w:rsid w:val="003920D8"/>
    <w:rsid w:val="0039270C"/>
    <w:rsid w:val="003939DF"/>
    <w:rsid w:val="00393A01"/>
    <w:rsid w:val="00393F8F"/>
    <w:rsid w:val="00393FF3"/>
    <w:rsid w:val="00394873"/>
    <w:rsid w:val="003958FA"/>
    <w:rsid w:val="00395D5C"/>
    <w:rsid w:val="0039621F"/>
    <w:rsid w:val="0039647C"/>
    <w:rsid w:val="003A0ED5"/>
    <w:rsid w:val="003A14C7"/>
    <w:rsid w:val="003A1707"/>
    <w:rsid w:val="003A4B67"/>
    <w:rsid w:val="003A79F4"/>
    <w:rsid w:val="003B022F"/>
    <w:rsid w:val="003B453A"/>
    <w:rsid w:val="003B6D45"/>
    <w:rsid w:val="003B7816"/>
    <w:rsid w:val="003C2B5C"/>
    <w:rsid w:val="003C2F13"/>
    <w:rsid w:val="003C30FE"/>
    <w:rsid w:val="003C3E85"/>
    <w:rsid w:val="003C48D4"/>
    <w:rsid w:val="003C4A50"/>
    <w:rsid w:val="003C5BCB"/>
    <w:rsid w:val="003C740C"/>
    <w:rsid w:val="003C75D9"/>
    <w:rsid w:val="003C7DCE"/>
    <w:rsid w:val="003D0440"/>
    <w:rsid w:val="003D0625"/>
    <w:rsid w:val="003D119E"/>
    <w:rsid w:val="003D173C"/>
    <w:rsid w:val="003D176B"/>
    <w:rsid w:val="003D2878"/>
    <w:rsid w:val="003D2E5E"/>
    <w:rsid w:val="003D4271"/>
    <w:rsid w:val="003D5DA8"/>
    <w:rsid w:val="003D67EC"/>
    <w:rsid w:val="003E09EA"/>
    <w:rsid w:val="003E1022"/>
    <w:rsid w:val="003E17F7"/>
    <w:rsid w:val="003E1C9E"/>
    <w:rsid w:val="003E2137"/>
    <w:rsid w:val="003E2609"/>
    <w:rsid w:val="003E38B2"/>
    <w:rsid w:val="003E5E5C"/>
    <w:rsid w:val="003E76AA"/>
    <w:rsid w:val="003F01FF"/>
    <w:rsid w:val="003F10BD"/>
    <w:rsid w:val="003F150E"/>
    <w:rsid w:val="003F21C5"/>
    <w:rsid w:val="003F2B48"/>
    <w:rsid w:val="003F3EE4"/>
    <w:rsid w:val="003F43A9"/>
    <w:rsid w:val="003F4742"/>
    <w:rsid w:val="003F5001"/>
    <w:rsid w:val="003F5EFA"/>
    <w:rsid w:val="003F752F"/>
    <w:rsid w:val="003F7785"/>
    <w:rsid w:val="00400967"/>
    <w:rsid w:val="004026F3"/>
    <w:rsid w:val="0040396A"/>
    <w:rsid w:val="004106A5"/>
    <w:rsid w:val="0041165D"/>
    <w:rsid w:val="00411D6C"/>
    <w:rsid w:val="00412570"/>
    <w:rsid w:val="004146A1"/>
    <w:rsid w:val="00416B29"/>
    <w:rsid w:val="00420BBD"/>
    <w:rsid w:val="00420C05"/>
    <w:rsid w:val="00420F2C"/>
    <w:rsid w:val="00421D77"/>
    <w:rsid w:val="00423304"/>
    <w:rsid w:val="004234D9"/>
    <w:rsid w:val="00423F5F"/>
    <w:rsid w:val="00425399"/>
    <w:rsid w:val="004261C8"/>
    <w:rsid w:val="004264E4"/>
    <w:rsid w:val="0042697A"/>
    <w:rsid w:val="00427BC4"/>
    <w:rsid w:val="00427F0F"/>
    <w:rsid w:val="004309E9"/>
    <w:rsid w:val="00431876"/>
    <w:rsid w:val="00432094"/>
    <w:rsid w:val="004325F6"/>
    <w:rsid w:val="00432905"/>
    <w:rsid w:val="00432AE0"/>
    <w:rsid w:val="0043438C"/>
    <w:rsid w:val="0043544C"/>
    <w:rsid w:val="0043571E"/>
    <w:rsid w:val="00437CBA"/>
    <w:rsid w:val="00440B1B"/>
    <w:rsid w:val="00440B55"/>
    <w:rsid w:val="00441602"/>
    <w:rsid w:val="00441BA0"/>
    <w:rsid w:val="00442F45"/>
    <w:rsid w:val="00443AD6"/>
    <w:rsid w:val="004443AE"/>
    <w:rsid w:val="00445676"/>
    <w:rsid w:val="00445A14"/>
    <w:rsid w:val="00447AE0"/>
    <w:rsid w:val="00450B0B"/>
    <w:rsid w:val="00450FED"/>
    <w:rsid w:val="00451978"/>
    <w:rsid w:val="00451EC3"/>
    <w:rsid w:val="00453964"/>
    <w:rsid w:val="00453C65"/>
    <w:rsid w:val="00454749"/>
    <w:rsid w:val="00454CF0"/>
    <w:rsid w:val="004551FF"/>
    <w:rsid w:val="004553DF"/>
    <w:rsid w:val="00455ADE"/>
    <w:rsid w:val="00455D2D"/>
    <w:rsid w:val="004562AF"/>
    <w:rsid w:val="00456916"/>
    <w:rsid w:val="0046158F"/>
    <w:rsid w:val="00463768"/>
    <w:rsid w:val="00465E3A"/>
    <w:rsid w:val="0046656F"/>
    <w:rsid w:val="00466786"/>
    <w:rsid w:val="00466DF5"/>
    <w:rsid w:val="00467384"/>
    <w:rsid w:val="004703E9"/>
    <w:rsid w:val="00470E4B"/>
    <w:rsid w:val="00471CD5"/>
    <w:rsid w:val="00472320"/>
    <w:rsid w:val="0047266D"/>
    <w:rsid w:val="004738BD"/>
    <w:rsid w:val="004739CB"/>
    <w:rsid w:val="00474692"/>
    <w:rsid w:val="00474722"/>
    <w:rsid w:val="00474E9B"/>
    <w:rsid w:val="004754D1"/>
    <w:rsid w:val="004755CB"/>
    <w:rsid w:val="0047799B"/>
    <w:rsid w:val="00477C23"/>
    <w:rsid w:val="004843CC"/>
    <w:rsid w:val="0048468F"/>
    <w:rsid w:val="004851FC"/>
    <w:rsid w:val="00486335"/>
    <w:rsid w:val="00487268"/>
    <w:rsid w:val="00487F15"/>
    <w:rsid w:val="004905C2"/>
    <w:rsid w:val="00490B1D"/>
    <w:rsid w:val="00490CE0"/>
    <w:rsid w:val="00494C77"/>
    <w:rsid w:val="00495A88"/>
    <w:rsid w:val="00496129"/>
    <w:rsid w:val="00496814"/>
    <w:rsid w:val="004976AE"/>
    <w:rsid w:val="00497DD3"/>
    <w:rsid w:val="004A2C03"/>
    <w:rsid w:val="004A5080"/>
    <w:rsid w:val="004A5AB2"/>
    <w:rsid w:val="004A5F30"/>
    <w:rsid w:val="004A70B6"/>
    <w:rsid w:val="004A71CB"/>
    <w:rsid w:val="004A752D"/>
    <w:rsid w:val="004A7C70"/>
    <w:rsid w:val="004B12C1"/>
    <w:rsid w:val="004B2391"/>
    <w:rsid w:val="004B27BB"/>
    <w:rsid w:val="004B31CE"/>
    <w:rsid w:val="004C00AA"/>
    <w:rsid w:val="004C0DB2"/>
    <w:rsid w:val="004C157D"/>
    <w:rsid w:val="004C1A51"/>
    <w:rsid w:val="004C26CE"/>
    <w:rsid w:val="004C29F7"/>
    <w:rsid w:val="004C2F78"/>
    <w:rsid w:val="004C3170"/>
    <w:rsid w:val="004C3D31"/>
    <w:rsid w:val="004C4BC0"/>
    <w:rsid w:val="004C6133"/>
    <w:rsid w:val="004C63AF"/>
    <w:rsid w:val="004D0C32"/>
    <w:rsid w:val="004D0CD2"/>
    <w:rsid w:val="004D11D6"/>
    <w:rsid w:val="004D2A33"/>
    <w:rsid w:val="004D37B8"/>
    <w:rsid w:val="004D47C5"/>
    <w:rsid w:val="004D79C8"/>
    <w:rsid w:val="004D7BC4"/>
    <w:rsid w:val="004E037A"/>
    <w:rsid w:val="004E095A"/>
    <w:rsid w:val="004E0B2D"/>
    <w:rsid w:val="004E25E8"/>
    <w:rsid w:val="004E32BD"/>
    <w:rsid w:val="004E4803"/>
    <w:rsid w:val="004E49DE"/>
    <w:rsid w:val="004E5A96"/>
    <w:rsid w:val="004E60AC"/>
    <w:rsid w:val="004E63D5"/>
    <w:rsid w:val="004E6B25"/>
    <w:rsid w:val="004E6EC7"/>
    <w:rsid w:val="004E717F"/>
    <w:rsid w:val="004F04FD"/>
    <w:rsid w:val="004F0FA6"/>
    <w:rsid w:val="004F133F"/>
    <w:rsid w:val="004F2CC2"/>
    <w:rsid w:val="004F2FB3"/>
    <w:rsid w:val="004F54F8"/>
    <w:rsid w:val="004F5ADB"/>
    <w:rsid w:val="004F67BA"/>
    <w:rsid w:val="004F6C54"/>
    <w:rsid w:val="00501D50"/>
    <w:rsid w:val="00502A1B"/>
    <w:rsid w:val="00502C35"/>
    <w:rsid w:val="005031FF"/>
    <w:rsid w:val="00503C69"/>
    <w:rsid w:val="00504148"/>
    <w:rsid w:val="005062C1"/>
    <w:rsid w:val="00511F79"/>
    <w:rsid w:val="0051220D"/>
    <w:rsid w:val="00514316"/>
    <w:rsid w:val="00515176"/>
    <w:rsid w:val="00516749"/>
    <w:rsid w:val="00516FD4"/>
    <w:rsid w:val="0051758C"/>
    <w:rsid w:val="00517CCA"/>
    <w:rsid w:val="00520395"/>
    <w:rsid w:val="005203A0"/>
    <w:rsid w:val="005208C6"/>
    <w:rsid w:val="00521499"/>
    <w:rsid w:val="005231B3"/>
    <w:rsid w:val="00524DFC"/>
    <w:rsid w:val="005253E0"/>
    <w:rsid w:val="00525C87"/>
    <w:rsid w:val="00526103"/>
    <w:rsid w:val="00526A01"/>
    <w:rsid w:val="00526A2D"/>
    <w:rsid w:val="005276C9"/>
    <w:rsid w:val="00527AB1"/>
    <w:rsid w:val="0053099A"/>
    <w:rsid w:val="00530C91"/>
    <w:rsid w:val="005312DB"/>
    <w:rsid w:val="005312DF"/>
    <w:rsid w:val="00532577"/>
    <w:rsid w:val="005327D3"/>
    <w:rsid w:val="00532B59"/>
    <w:rsid w:val="00534DB7"/>
    <w:rsid w:val="00535E38"/>
    <w:rsid w:val="00537331"/>
    <w:rsid w:val="0054193E"/>
    <w:rsid w:val="00542546"/>
    <w:rsid w:val="00543DC0"/>
    <w:rsid w:val="005451C3"/>
    <w:rsid w:val="00546882"/>
    <w:rsid w:val="00547E84"/>
    <w:rsid w:val="005501A1"/>
    <w:rsid w:val="00551CFA"/>
    <w:rsid w:val="00552033"/>
    <w:rsid w:val="005529C6"/>
    <w:rsid w:val="00555AEE"/>
    <w:rsid w:val="00556DDE"/>
    <w:rsid w:val="00560B1B"/>
    <w:rsid w:val="0056170C"/>
    <w:rsid w:val="0056284D"/>
    <w:rsid w:val="0056392E"/>
    <w:rsid w:val="00563EFC"/>
    <w:rsid w:val="00565002"/>
    <w:rsid w:val="00565CC9"/>
    <w:rsid w:val="005678AD"/>
    <w:rsid w:val="005704B4"/>
    <w:rsid w:val="00571EA7"/>
    <w:rsid w:val="0057279E"/>
    <w:rsid w:val="0057629F"/>
    <w:rsid w:val="005770A0"/>
    <w:rsid w:val="0057795E"/>
    <w:rsid w:val="00577EBE"/>
    <w:rsid w:val="0058068D"/>
    <w:rsid w:val="005807AF"/>
    <w:rsid w:val="00580B39"/>
    <w:rsid w:val="005817AF"/>
    <w:rsid w:val="00582E9A"/>
    <w:rsid w:val="00583A1A"/>
    <w:rsid w:val="00584CF4"/>
    <w:rsid w:val="005857D3"/>
    <w:rsid w:val="00587989"/>
    <w:rsid w:val="0059058A"/>
    <w:rsid w:val="00590B6D"/>
    <w:rsid w:val="00591A15"/>
    <w:rsid w:val="00591CFD"/>
    <w:rsid w:val="00591F34"/>
    <w:rsid w:val="00592203"/>
    <w:rsid w:val="00592E07"/>
    <w:rsid w:val="00594A3D"/>
    <w:rsid w:val="00595694"/>
    <w:rsid w:val="00595E74"/>
    <w:rsid w:val="00596304"/>
    <w:rsid w:val="005965C8"/>
    <w:rsid w:val="005969A6"/>
    <w:rsid w:val="005A074D"/>
    <w:rsid w:val="005A1CE7"/>
    <w:rsid w:val="005A3031"/>
    <w:rsid w:val="005A3087"/>
    <w:rsid w:val="005A590E"/>
    <w:rsid w:val="005A59C5"/>
    <w:rsid w:val="005A5F90"/>
    <w:rsid w:val="005A64DD"/>
    <w:rsid w:val="005A6ADC"/>
    <w:rsid w:val="005B0B3B"/>
    <w:rsid w:val="005B16C8"/>
    <w:rsid w:val="005B3670"/>
    <w:rsid w:val="005B3AAF"/>
    <w:rsid w:val="005B48E1"/>
    <w:rsid w:val="005B4A33"/>
    <w:rsid w:val="005B62C6"/>
    <w:rsid w:val="005B6AA9"/>
    <w:rsid w:val="005B719C"/>
    <w:rsid w:val="005B78DF"/>
    <w:rsid w:val="005B7BAD"/>
    <w:rsid w:val="005C0007"/>
    <w:rsid w:val="005C0AAA"/>
    <w:rsid w:val="005C0D6D"/>
    <w:rsid w:val="005C1367"/>
    <w:rsid w:val="005C15F2"/>
    <w:rsid w:val="005C1C3C"/>
    <w:rsid w:val="005C2304"/>
    <w:rsid w:val="005C2B5B"/>
    <w:rsid w:val="005C3AE0"/>
    <w:rsid w:val="005C3ED7"/>
    <w:rsid w:val="005C4012"/>
    <w:rsid w:val="005C4033"/>
    <w:rsid w:val="005C4381"/>
    <w:rsid w:val="005C4FA2"/>
    <w:rsid w:val="005C571D"/>
    <w:rsid w:val="005C66C4"/>
    <w:rsid w:val="005C74C9"/>
    <w:rsid w:val="005C7E54"/>
    <w:rsid w:val="005D0D3D"/>
    <w:rsid w:val="005D1FF3"/>
    <w:rsid w:val="005D267B"/>
    <w:rsid w:val="005D3815"/>
    <w:rsid w:val="005D5B74"/>
    <w:rsid w:val="005D5C62"/>
    <w:rsid w:val="005D5C6D"/>
    <w:rsid w:val="005D7E2C"/>
    <w:rsid w:val="005E0019"/>
    <w:rsid w:val="005E0E1D"/>
    <w:rsid w:val="005E1262"/>
    <w:rsid w:val="005E2542"/>
    <w:rsid w:val="005E41FE"/>
    <w:rsid w:val="005E493C"/>
    <w:rsid w:val="005E5420"/>
    <w:rsid w:val="005F07B6"/>
    <w:rsid w:val="005F1543"/>
    <w:rsid w:val="005F43E6"/>
    <w:rsid w:val="005F5782"/>
    <w:rsid w:val="005F590C"/>
    <w:rsid w:val="005F6401"/>
    <w:rsid w:val="0060077E"/>
    <w:rsid w:val="006011C5"/>
    <w:rsid w:val="00601641"/>
    <w:rsid w:val="006032E6"/>
    <w:rsid w:val="00604261"/>
    <w:rsid w:val="00604978"/>
    <w:rsid w:val="00604D83"/>
    <w:rsid w:val="0060530E"/>
    <w:rsid w:val="00605668"/>
    <w:rsid w:val="006060B2"/>
    <w:rsid w:val="00606367"/>
    <w:rsid w:val="00606462"/>
    <w:rsid w:val="00607BD1"/>
    <w:rsid w:val="00607F37"/>
    <w:rsid w:val="00610F2C"/>
    <w:rsid w:val="00611128"/>
    <w:rsid w:val="00611389"/>
    <w:rsid w:val="006133BD"/>
    <w:rsid w:val="00614176"/>
    <w:rsid w:val="00614C63"/>
    <w:rsid w:val="00614DE6"/>
    <w:rsid w:val="00615106"/>
    <w:rsid w:val="00615177"/>
    <w:rsid w:val="006219AB"/>
    <w:rsid w:val="00622776"/>
    <w:rsid w:val="00622998"/>
    <w:rsid w:val="006229EC"/>
    <w:rsid w:val="00623ECA"/>
    <w:rsid w:val="00623F20"/>
    <w:rsid w:val="0062432F"/>
    <w:rsid w:val="006246CA"/>
    <w:rsid w:val="006252D3"/>
    <w:rsid w:val="00627EA7"/>
    <w:rsid w:val="00630A45"/>
    <w:rsid w:val="00630C86"/>
    <w:rsid w:val="00630ED1"/>
    <w:rsid w:val="006313CF"/>
    <w:rsid w:val="00632FBC"/>
    <w:rsid w:val="00633C4C"/>
    <w:rsid w:val="0063472F"/>
    <w:rsid w:val="00635171"/>
    <w:rsid w:val="00635B17"/>
    <w:rsid w:val="00635D03"/>
    <w:rsid w:val="006373DA"/>
    <w:rsid w:val="0064009A"/>
    <w:rsid w:val="006405B2"/>
    <w:rsid w:val="00641634"/>
    <w:rsid w:val="00642D17"/>
    <w:rsid w:val="00642F1B"/>
    <w:rsid w:val="0064342E"/>
    <w:rsid w:val="006455AD"/>
    <w:rsid w:val="00646AB7"/>
    <w:rsid w:val="00647EDC"/>
    <w:rsid w:val="0065209B"/>
    <w:rsid w:val="006546C4"/>
    <w:rsid w:val="00656AEF"/>
    <w:rsid w:val="00660A7C"/>
    <w:rsid w:val="00661261"/>
    <w:rsid w:val="00661C4D"/>
    <w:rsid w:val="0066297F"/>
    <w:rsid w:val="00662C56"/>
    <w:rsid w:val="00663B12"/>
    <w:rsid w:val="006649C5"/>
    <w:rsid w:val="0066528C"/>
    <w:rsid w:val="006666A5"/>
    <w:rsid w:val="006668AB"/>
    <w:rsid w:val="00666C19"/>
    <w:rsid w:val="00670495"/>
    <w:rsid w:val="00671571"/>
    <w:rsid w:val="006735D1"/>
    <w:rsid w:val="00673ACE"/>
    <w:rsid w:val="0067414D"/>
    <w:rsid w:val="00675AAD"/>
    <w:rsid w:val="006765CA"/>
    <w:rsid w:val="00676738"/>
    <w:rsid w:val="0067753D"/>
    <w:rsid w:val="006775E0"/>
    <w:rsid w:val="0068061F"/>
    <w:rsid w:val="006809C6"/>
    <w:rsid w:val="00680B7F"/>
    <w:rsid w:val="00680FAF"/>
    <w:rsid w:val="00681330"/>
    <w:rsid w:val="0068160E"/>
    <w:rsid w:val="00682159"/>
    <w:rsid w:val="006840A8"/>
    <w:rsid w:val="0068449B"/>
    <w:rsid w:val="0068467F"/>
    <w:rsid w:val="00686F52"/>
    <w:rsid w:val="00687C84"/>
    <w:rsid w:val="006903A7"/>
    <w:rsid w:val="00690C81"/>
    <w:rsid w:val="006973A5"/>
    <w:rsid w:val="006A1103"/>
    <w:rsid w:val="006A1146"/>
    <w:rsid w:val="006A1B81"/>
    <w:rsid w:val="006A3666"/>
    <w:rsid w:val="006A4772"/>
    <w:rsid w:val="006A49FB"/>
    <w:rsid w:val="006A50EF"/>
    <w:rsid w:val="006A5AD6"/>
    <w:rsid w:val="006B036D"/>
    <w:rsid w:val="006B32D4"/>
    <w:rsid w:val="006B3941"/>
    <w:rsid w:val="006B4330"/>
    <w:rsid w:val="006B4553"/>
    <w:rsid w:val="006B46A4"/>
    <w:rsid w:val="006B536C"/>
    <w:rsid w:val="006B5AF5"/>
    <w:rsid w:val="006B5F30"/>
    <w:rsid w:val="006B7BFF"/>
    <w:rsid w:val="006C3E28"/>
    <w:rsid w:val="006C6DDE"/>
    <w:rsid w:val="006D0551"/>
    <w:rsid w:val="006D1288"/>
    <w:rsid w:val="006D1EF1"/>
    <w:rsid w:val="006D2A19"/>
    <w:rsid w:val="006D357F"/>
    <w:rsid w:val="006D3AC1"/>
    <w:rsid w:val="006D5428"/>
    <w:rsid w:val="006D55A5"/>
    <w:rsid w:val="006D7E39"/>
    <w:rsid w:val="006E0479"/>
    <w:rsid w:val="006E0F57"/>
    <w:rsid w:val="006E17B0"/>
    <w:rsid w:val="006E2746"/>
    <w:rsid w:val="006E3514"/>
    <w:rsid w:val="006E5329"/>
    <w:rsid w:val="006E598E"/>
    <w:rsid w:val="006F1CAC"/>
    <w:rsid w:val="006F253D"/>
    <w:rsid w:val="006F3C00"/>
    <w:rsid w:val="006F48DA"/>
    <w:rsid w:val="006F4BD6"/>
    <w:rsid w:val="006F5A84"/>
    <w:rsid w:val="006F5E16"/>
    <w:rsid w:val="007009F5"/>
    <w:rsid w:val="00701508"/>
    <w:rsid w:val="007019F0"/>
    <w:rsid w:val="00702E7E"/>
    <w:rsid w:val="00703340"/>
    <w:rsid w:val="007053B9"/>
    <w:rsid w:val="00707092"/>
    <w:rsid w:val="007072EB"/>
    <w:rsid w:val="00707E94"/>
    <w:rsid w:val="0071039B"/>
    <w:rsid w:val="00710A05"/>
    <w:rsid w:val="00710EC6"/>
    <w:rsid w:val="0071139F"/>
    <w:rsid w:val="00711409"/>
    <w:rsid w:val="00711BC8"/>
    <w:rsid w:val="00711F80"/>
    <w:rsid w:val="007127EC"/>
    <w:rsid w:val="007129F8"/>
    <w:rsid w:val="0071342A"/>
    <w:rsid w:val="0071343A"/>
    <w:rsid w:val="007135FE"/>
    <w:rsid w:val="00713B6F"/>
    <w:rsid w:val="0071428A"/>
    <w:rsid w:val="007155A5"/>
    <w:rsid w:val="00715F93"/>
    <w:rsid w:val="00721C0B"/>
    <w:rsid w:val="007220E9"/>
    <w:rsid w:val="0072324D"/>
    <w:rsid w:val="00723B0C"/>
    <w:rsid w:val="00724542"/>
    <w:rsid w:val="00725648"/>
    <w:rsid w:val="00725B2F"/>
    <w:rsid w:val="00726277"/>
    <w:rsid w:val="00727C1F"/>
    <w:rsid w:val="007325F9"/>
    <w:rsid w:val="007327ED"/>
    <w:rsid w:val="00732A00"/>
    <w:rsid w:val="00732E16"/>
    <w:rsid w:val="00732E29"/>
    <w:rsid w:val="00733BCE"/>
    <w:rsid w:val="007352A6"/>
    <w:rsid w:val="00735597"/>
    <w:rsid w:val="0074139D"/>
    <w:rsid w:val="00741B9A"/>
    <w:rsid w:val="00741BA9"/>
    <w:rsid w:val="00741F36"/>
    <w:rsid w:val="0074218B"/>
    <w:rsid w:val="00742C14"/>
    <w:rsid w:val="00744660"/>
    <w:rsid w:val="007447FC"/>
    <w:rsid w:val="00744F0E"/>
    <w:rsid w:val="00746FCF"/>
    <w:rsid w:val="00747BD6"/>
    <w:rsid w:val="007504A6"/>
    <w:rsid w:val="007511D5"/>
    <w:rsid w:val="00752E2D"/>
    <w:rsid w:val="007544ED"/>
    <w:rsid w:val="0075554B"/>
    <w:rsid w:val="00755EFB"/>
    <w:rsid w:val="007572EF"/>
    <w:rsid w:val="007575C4"/>
    <w:rsid w:val="00757BAA"/>
    <w:rsid w:val="0076182A"/>
    <w:rsid w:val="007626C0"/>
    <w:rsid w:val="0076274E"/>
    <w:rsid w:val="00762814"/>
    <w:rsid w:val="00762ABB"/>
    <w:rsid w:val="00763AD8"/>
    <w:rsid w:val="00764104"/>
    <w:rsid w:val="0076458B"/>
    <w:rsid w:val="007649E2"/>
    <w:rsid w:val="0076747E"/>
    <w:rsid w:val="00767AD0"/>
    <w:rsid w:val="007705F4"/>
    <w:rsid w:val="007715B1"/>
    <w:rsid w:val="00772B17"/>
    <w:rsid w:val="00773868"/>
    <w:rsid w:val="00775890"/>
    <w:rsid w:val="0077642A"/>
    <w:rsid w:val="0077767B"/>
    <w:rsid w:val="00777F1E"/>
    <w:rsid w:val="00780C86"/>
    <w:rsid w:val="00781A90"/>
    <w:rsid w:val="007821E6"/>
    <w:rsid w:val="00782F3A"/>
    <w:rsid w:val="00783CE3"/>
    <w:rsid w:val="00786B30"/>
    <w:rsid w:val="00786C0B"/>
    <w:rsid w:val="00787210"/>
    <w:rsid w:val="0078758E"/>
    <w:rsid w:val="00787FDE"/>
    <w:rsid w:val="00790073"/>
    <w:rsid w:val="00790204"/>
    <w:rsid w:val="00791D05"/>
    <w:rsid w:val="00791D69"/>
    <w:rsid w:val="0079213F"/>
    <w:rsid w:val="00792FF9"/>
    <w:rsid w:val="007954DA"/>
    <w:rsid w:val="00796094"/>
    <w:rsid w:val="007979A5"/>
    <w:rsid w:val="007A0628"/>
    <w:rsid w:val="007A0B97"/>
    <w:rsid w:val="007A1A3A"/>
    <w:rsid w:val="007A23CB"/>
    <w:rsid w:val="007A363B"/>
    <w:rsid w:val="007A3732"/>
    <w:rsid w:val="007A4C3B"/>
    <w:rsid w:val="007A5854"/>
    <w:rsid w:val="007A5E17"/>
    <w:rsid w:val="007A6470"/>
    <w:rsid w:val="007A685E"/>
    <w:rsid w:val="007A75B3"/>
    <w:rsid w:val="007B18BE"/>
    <w:rsid w:val="007B24A7"/>
    <w:rsid w:val="007B3030"/>
    <w:rsid w:val="007B471E"/>
    <w:rsid w:val="007B48B3"/>
    <w:rsid w:val="007B63C1"/>
    <w:rsid w:val="007B69D3"/>
    <w:rsid w:val="007B6C6B"/>
    <w:rsid w:val="007C04C0"/>
    <w:rsid w:val="007C0782"/>
    <w:rsid w:val="007C0ED1"/>
    <w:rsid w:val="007C2EC2"/>
    <w:rsid w:val="007C33D1"/>
    <w:rsid w:val="007C45DC"/>
    <w:rsid w:val="007D0469"/>
    <w:rsid w:val="007D1668"/>
    <w:rsid w:val="007D22AC"/>
    <w:rsid w:val="007D2822"/>
    <w:rsid w:val="007D304D"/>
    <w:rsid w:val="007D3FA2"/>
    <w:rsid w:val="007D4BAA"/>
    <w:rsid w:val="007D65A3"/>
    <w:rsid w:val="007D6A08"/>
    <w:rsid w:val="007D6E1E"/>
    <w:rsid w:val="007D782D"/>
    <w:rsid w:val="007D7BE6"/>
    <w:rsid w:val="007D7CB1"/>
    <w:rsid w:val="007D7CF5"/>
    <w:rsid w:val="007E10F3"/>
    <w:rsid w:val="007E4F11"/>
    <w:rsid w:val="007E556A"/>
    <w:rsid w:val="007E56EC"/>
    <w:rsid w:val="007E5FF5"/>
    <w:rsid w:val="007E6DB6"/>
    <w:rsid w:val="007E78F0"/>
    <w:rsid w:val="007F1660"/>
    <w:rsid w:val="007F1D19"/>
    <w:rsid w:val="007F26A6"/>
    <w:rsid w:val="007F277E"/>
    <w:rsid w:val="007F3101"/>
    <w:rsid w:val="007F3393"/>
    <w:rsid w:val="007F512D"/>
    <w:rsid w:val="007F6244"/>
    <w:rsid w:val="007F7353"/>
    <w:rsid w:val="007F7965"/>
    <w:rsid w:val="007F7A04"/>
    <w:rsid w:val="007F7C2D"/>
    <w:rsid w:val="00801790"/>
    <w:rsid w:val="00801B83"/>
    <w:rsid w:val="008021BF"/>
    <w:rsid w:val="0080322A"/>
    <w:rsid w:val="008040EF"/>
    <w:rsid w:val="0080442D"/>
    <w:rsid w:val="00805BE5"/>
    <w:rsid w:val="008062BB"/>
    <w:rsid w:val="008062C3"/>
    <w:rsid w:val="0080660A"/>
    <w:rsid w:val="00807824"/>
    <w:rsid w:val="00807978"/>
    <w:rsid w:val="00807C71"/>
    <w:rsid w:val="008102E2"/>
    <w:rsid w:val="00810C42"/>
    <w:rsid w:val="00810DCA"/>
    <w:rsid w:val="00811F85"/>
    <w:rsid w:val="008136FE"/>
    <w:rsid w:val="00813C75"/>
    <w:rsid w:val="008141DD"/>
    <w:rsid w:val="008150E9"/>
    <w:rsid w:val="00815CA9"/>
    <w:rsid w:val="0082012C"/>
    <w:rsid w:val="00820508"/>
    <w:rsid w:val="008205F7"/>
    <w:rsid w:val="00820A51"/>
    <w:rsid w:val="00821982"/>
    <w:rsid w:val="00821E51"/>
    <w:rsid w:val="00822489"/>
    <w:rsid w:val="00822B68"/>
    <w:rsid w:val="00823203"/>
    <w:rsid w:val="0082389C"/>
    <w:rsid w:val="008241DB"/>
    <w:rsid w:val="00824EF9"/>
    <w:rsid w:val="00825817"/>
    <w:rsid w:val="00826749"/>
    <w:rsid w:val="00830AE6"/>
    <w:rsid w:val="00831811"/>
    <w:rsid w:val="00832748"/>
    <w:rsid w:val="00832AA3"/>
    <w:rsid w:val="00833570"/>
    <w:rsid w:val="00835CC3"/>
    <w:rsid w:val="00837561"/>
    <w:rsid w:val="008416E7"/>
    <w:rsid w:val="00841781"/>
    <w:rsid w:val="008425A4"/>
    <w:rsid w:val="0084394F"/>
    <w:rsid w:val="008453B9"/>
    <w:rsid w:val="00845ECC"/>
    <w:rsid w:val="0085124D"/>
    <w:rsid w:val="00851BE1"/>
    <w:rsid w:val="00851C82"/>
    <w:rsid w:val="008524E6"/>
    <w:rsid w:val="0085290A"/>
    <w:rsid w:val="0085332F"/>
    <w:rsid w:val="00854B13"/>
    <w:rsid w:val="0085617D"/>
    <w:rsid w:val="00856D57"/>
    <w:rsid w:val="0085766D"/>
    <w:rsid w:val="00857863"/>
    <w:rsid w:val="00860242"/>
    <w:rsid w:val="0086062D"/>
    <w:rsid w:val="0086256F"/>
    <w:rsid w:val="00862A29"/>
    <w:rsid w:val="00862E5E"/>
    <w:rsid w:val="00864FA6"/>
    <w:rsid w:val="00865446"/>
    <w:rsid w:val="00865F34"/>
    <w:rsid w:val="00866794"/>
    <w:rsid w:val="00871337"/>
    <w:rsid w:val="0087289C"/>
    <w:rsid w:val="00873858"/>
    <w:rsid w:val="00873FAF"/>
    <w:rsid w:val="0087404B"/>
    <w:rsid w:val="00874905"/>
    <w:rsid w:val="00875256"/>
    <w:rsid w:val="008753CB"/>
    <w:rsid w:val="00880E71"/>
    <w:rsid w:val="008815BB"/>
    <w:rsid w:val="008818A0"/>
    <w:rsid w:val="008825A7"/>
    <w:rsid w:val="00883009"/>
    <w:rsid w:val="00884251"/>
    <w:rsid w:val="0088569D"/>
    <w:rsid w:val="00887395"/>
    <w:rsid w:val="00890882"/>
    <w:rsid w:val="00891AC5"/>
    <w:rsid w:val="00892A7B"/>
    <w:rsid w:val="008935C1"/>
    <w:rsid w:val="00893B33"/>
    <w:rsid w:val="00895046"/>
    <w:rsid w:val="00896999"/>
    <w:rsid w:val="008972E0"/>
    <w:rsid w:val="00897781"/>
    <w:rsid w:val="00897CF8"/>
    <w:rsid w:val="008A0073"/>
    <w:rsid w:val="008A0109"/>
    <w:rsid w:val="008A15D1"/>
    <w:rsid w:val="008A1E78"/>
    <w:rsid w:val="008A206D"/>
    <w:rsid w:val="008A213E"/>
    <w:rsid w:val="008A30F4"/>
    <w:rsid w:val="008A313B"/>
    <w:rsid w:val="008A562F"/>
    <w:rsid w:val="008A5C92"/>
    <w:rsid w:val="008A5CBA"/>
    <w:rsid w:val="008A6D6A"/>
    <w:rsid w:val="008A71C3"/>
    <w:rsid w:val="008B0ACE"/>
    <w:rsid w:val="008B10B4"/>
    <w:rsid w:val="008B2954"/>
    <w:rsid w:val="008B2B93"/>
    <w:rsid w:val="008B4BBB"/>
    <w:rsid w:val="008B4BD1"/>
    <w:rsid w:val="008B4F99"/>
    <w:rsid w:val="008B5D02"/>
    <w:rsid w:val="008B6DC7"/>
    <w:rsid w:val="008B6F9B"/>
    <w:rsid w:val="008B736A"/>
    <w:rsid w:val="008B741D"/>
    <w:rsid w:val="008C0638"/>
    <w:rsid w:val="008C0D20"/>
    <w:rsid w:val="008C10C0"/>
    <w:rsid w:val="008C21F9"/>
    <w:rsid w:val="008C3837"/>
    <w:rsid w:val="008C7003"/>
    <w:rsid w:val="008D0343"/>
    <w:rsid w:val="008D0685"/>
    <w:rsid w:val="008D2282"/>
    <w:rsid w:val="008D433C"/>
    <w:rsid w:val="008D4664"/>
    <w:rsid w:val="008D47CE"/>
    <w:rsid w:val="008D509E"/>
    <w:rsid w:val="008D5CB3"/>
    <w:rsid w:val="008D6DC4"/>
    <w:rsid w:val="008D7BA1"/>
    <w:rsid w:val="008E15AE"/>
    <w:rsid w:val="008E17C1"/>
    <w:rsid w:val="008E244E"/>
    <w:rsid w:val="008E3A14"/>
    <w:rsid w:val="008E45A4"/>
    <w:rsid w:val="008E47F2"/>
    <w:rsid w:val="008E49EE"/>
    <w:rsid w:val="008E5F92"/>
    <w:rsid w:val="008E6535"/>
    <w:rsid w:val="008E6D4D"/>
    <w:rsid w:val="008E755F"/>
    <w:rsid w:val="008F00ED"/>
    <w:rsid w:val="008F018A"/>
    <w:rsid w:val="008F107A"/>
    <w:rsid w:val="008F268D"/>
    <w:rsid w:val="008F4200"/>
    <w:rsid w:val="008F5526"/>
    <w:rsid w:val="008F5AB1"/>
    <w:rsid w:val="008F5C37"/>
    <w:rsid w:val="008F66A6"/>
    <w:rsid w:val="0090106F"/>
    <w:rsid w:val="00901526"/>
    <w:rsid w:val="009015C2"/>
    <w:rsid w:val="00902E82"/>
    <w:rsid w:val="00903B89"/>
    <w:rsid w:val="00903CFC"/>
    <w:rsid w:val="00904A24"/>
    <w:rsid w:val="00905433"/>
    <w:rsid w:val="00906DE1"/>
    <w:rsid w:val="00907A92"/>
    <w:rsid w:val="009108CF"/>
    <w:rsid w:val="009111A7"/>
    <w:rsid w:val="00912AC9"/>
    <w:rsid w:val="00914F98"/>
    <w:rsid w:val="009152F0"/>
    <w:rsid w:val="00917E44"/>
    <w:rsid w:val="00920E46"/>
    <w:rsid w:val="00920EFE"/>
    <w:rsid w:val="00921FE9"/>
    <w:rsid w:val="00921FFE"/>
    <w:rsid w:val="00922C6C"/>
    <w:rsid w:val="009231B1"/>
    <w:rsid w:val="009237D7"/>
    <w:rsid w:val="00924E65"/>
    <w:rsid w:val="00924F77"/>
    <w:rsid w:val="009301C7"/>
    <w:rsid w:val="009313A5"/>
    <w:rsid w:val="009314C9"/>
    <w:rsid w:val="00931DE4"/>
    <w:rsid w:val="00932CE5"/>
    <w:rsid w:val="00933027"/>
    <w:rsid w:val="00933EC0"/>
    <w:rsid w:val="00934DB8"/>
    <w:rsid w:val="009351EB"/>
    <w:rsid w:val="009353E5"/>
    <w:rsid w:val="00936126"/>
    <w:rsid w:val="00937522"/>
    <w:rsid w:val="00937A20"/>
    <w:rsid w:val="009422F0"/>
    <w:rsid w:val="009428C2"/>
    <w:rsid w:val="00942C11"/>
    <w:rsid w:val="00943E92"/>
    <w:rsid w:val="0094537F"/>
    <w:rsid w:val="00945476"/>
    <w:rsid w:val="00945E83"/>
    <w:rsid w:val="00951370"/>
    <w:rsid w:val="0095176B"/>
    <w:rsid w:val="009541B0"/>
    <w:rsid w:val="00955396"/>
    <w:rsid w:val="00955A39"/>
    <w:rsid w:val="009563F0"/>
    <w:rsid w:val="009564AB"/>
    <w:rsid w:val="00956539"/>
    <w:rsid w:val="00956889"/>
    <w:rsid w:val="00956B3D"/>
    <w:rsid w:val="00957B93"/>
    <w:rsid w:val="00957C33"/>
    <w:rsid w:val="00960127"/>
    <w:rsid w:val="00960E3A"/>
    <w:rsid w:val="009612A5"/>
    <w:rsid w:val="00961B15"/>
    <w:rsid w:val="00961F47"/>
    <w:rsid w:val="00964E5F"/>
    <w:rsid w:val="009652BB"/>
    <w:rsid w:val="00965B64"/>
    <w:rsid w:val="00965E7E"/>
    <w:rsid w:val="00970741"/>
    <w:rsid w:val="0097164A"/>
    <w:rsid w:val="00971A2A"/>
    <w:rsid w:val="00974259"/>
    <w:rsid w:val="00974F41"/>
    <w:rsid w:val="0097516E"/>
    <w:rsid w:val="00975484"/>
    <w:rsid w:val="00976310"/>
    <w:rsid w:val="00977955"/>
    <w:rsid w:val="00977F7F"/>
    <w:rsid w:val="009825E2"/>
    <w:rsid w:val="00983C35"/>
    <w:rsid w:val="00985070"/>
    <w:rsid w:val="00985608"/>
    <w:rsid w:val="009865EA"/>
    <w:rsid w:val="009878AB"/>
    <w:rsid w:val="009879FD"/>
    <w:rsid w:val="00990643"/>
    <w:rsid w:val="00990FF7"/>
    <w:rsid w:val="0099165A"/>
    <w:rsid w:val="00991FC0"/>
    <w:rsid w:val="0099343D"/>
    <w:rsid w:val="00993988"/>
    <w:rsid w:val="00993D83"/>
    <w:rsid w:val="009940FF"/>
    <w:rsid w:val="00994467"/>
    <w:rsid w:val="00996C49"/>
    <w:rsid w:val="00997204"/>
    <w:rsid w:val="009A0A91"/>
    <w:rsid w:val="009A0D83"/>
    <w:rsid w:val="009A212D"/>
    <w:rsid w:val="009A28FA"/>
    <w:rsid w:val="009A2CF7"/>
    <w:rsid w:val="009A3D1A"/>
    <w:rsid w:val="009A431D"/>
    <w:rsid w:val="009A589E"/>
    <w:rsid w:val="009A5A50"/>
    <w:rsid w:val="009A62FE"/>
    <w:rsid w:val="009A63BD"/>
    <w:rsid w:val="009A6F70"/>
    <w:rsid w:val="009B1102"/>
    <w:rsid w:val="009B1487"/>
    <w:rsid w:val="009B1837"/>
    <w:rsid w:val="009B2C23"/>
    <w:rsid w:val="009B3EEB"/>
    <w:rsid w:val="009B42E5"/>
    <w:rsid w:val="009B522B"/>
    <w:rsid w:val="009B6913"/>
    <w:rsid w:val="009B7103"/>
    <w:rsid w:val="009C023D"/>
    <w:rsid w:val="009C034A"/>
    <w:rsid w:val="009C141B"/>
    <w:rsid w:val="009C35D5"/>
    <w:rsid w:val="009C39EF"/>
    <w:rsid w:val="009C49E3"/>
    <w:rsid w:val="009C4D85"/>
    <w:rsid w:val="009C5D75"/>
    <w:rsid w:val="009C6E4F"/>
    <w:rsid w:val="009C799A"/>
    <w:rsid w:val="009D1D73"/>
    <w:rsid w:val="009D1DD2"/>
    <w:rsid w:val="009D3090"/>
    <w:rsid w:val="009D38BC"/>
    <w:rsid w:val="009D46B4"/>
    <w:rsid w:val="009D54BA"/>
    <w:rsid w:val="009D6ABA"/>
    <w:rsid w:val="009D79F1"/>
    <w:rsid w:val="009E0163"/>
    <w:rsid w:val="009E053D"/>
    <w:rsid w:val="009E1BB3"/>
    <w:rsid w:val="009E1EFA"/>
    <w:rsid w:val="009E2B07"/>
    <w:rsid w:val="009E2E81"/>
    <w:rsid w:val="009E3B3D"/>
    <w:rsid w:val="009E5DA6"/>
    <w:rsid w:val="009E739F"/>
    <w:rsid w:val="009E742E"/>
    <w:rsid w:val="009E74B2"/>
    <w:rsid w:val="009E79A9"/>
    <w:rsid w:val="009F0DD5"/>
    <w:rsid w:val="009F16DC"/>
    <w:rsid w:val="009F1C02"/>
    <w:rsid w:val="009F1C0F"/>
    <w:rsid w:val="009F21DE"/>
    <w:rsid w:val="009F2357"/>
    <w:rsid w:val="009F3A9B"/>
    <w:rsid w:val="009F48A7"/>
    <w:rsid w:val="009F54BC"/>
    <w:rsid w:val="009F5763"/>
    <w:rsid w:val="009F595D"/>
    <w:rsid w:val="009F5BB5"/>
    <w:rsid w:val="00A008DE"/>
    <w:rsid w:val="00A016C3"/>
    <w:rsid w:val="00A0449D"/>
    <w:rsid w:val="00A0513B"/>
    <w:rsid w:val="00A058B5"/>
    <w:rsid w:val="00A062B2"/>
    <w:rsid w:val="00A066D2"/>
    <w:rsid w:val="00A0680D"/>
    <w:rsid w:val="00A0723B"/>
    <w:rsid w:val="00A07B56"/>
    <w:rsid w:val="00A07DF5"/>
    <w:rsid w:val="00A11443"/>
    <w:rsid w:val="00A1179C"/>
    <w:rsid w:val="00A124CC"/>
    <w:rsid w:val="00A129C0"/>
    <w:rsid w:val="00A12F2A"/>
    <w:rsid w:val="00A13246"/>
    <w:rsid w:val="00A14FF3"/>
    <w:rsid w:val="00A16079"/>
    <w:rsid w:val="00A16B45"/>
    <w:rsid w:val="00A20BA7"/>
    <w:rsid w:val="00A20C78"/>
    <w:rsid w:val="00A216CA"/>
    <w:rsid w:val="00A21BBF"/>
    <w:rsid w:val="00A22449"/>
    <w:rsid w:val="00A2267B"/>
    <w:rsid w:val="00A23E79"/>
    <w:rsid w:val="00A264A0"/>
    <w:rsid w:val="00A26920"/>
    <w:rsid w:val="00A26BDC"/>
    <w:rsid w:val="00A273BE"/>
    <w:rsid w:val="00A30DCA"/>
    <w:rsid w:val="00A32325"/>
    <w:rsid w:val="00A32CE2"/>
    <w:rsid w:val="00A32D16"/>
    <w:rsid w:val="00A3367C"/>
    <w:rsid w:val="00A35522"/>
    <w:rsid w:val="00A3694B"/>
    <w:rsid w:val="00A378AA"/>
    <w:rsid w:val="00A37E4C"/>
    <w:rsid w:val="00A4170D"/>
    <w:rsid w:val="00A418F5"/>
    <w:rsid w:val="00A42F6A"/>
    <w:rsid w:val="00A44065"/>
    <w:rsid w:val="00A442FB"/>
    <w:rsid w:val="00A44749"/>
    <w:rsid w:val="00A45694"/>
    <w:rsid w:val="00A45750"/>
    <w:rsid w:val="00A45BE8"/>
    <w:rsid w:val="00A46635"/>
    <w:rsid w:val="00A50F29"/>
    <w:rsid w:val="00A5127A"/>
    <w:rsid w:val="00A53045"/>
    <w:rsid w:val="00A53B80"/>
    <w:rsid w:val="00A54137"/>
    <w:rsid w:val="00A54533"/>
    <w:rsid w:val="00A55A26"/>
    <w:rsid w:val="00A55EC5"/>
    <w:rsid w:val="00A5646C"/>
    <w:rsid w:val="00A56EA5"/>
    <w:rsid w:val="00A619AB"/>
    <w:rsid w:val="00A62BB4"/>
    <w:rsid w:val="00A62D37"/>
    <w:rsid w:val="00A62E23"/>
    <w:rsid w:val="00A66F11"/>
    <w:rsid w:val="00A70FFC"/>
    <w:rsid w:val="00A71312"/>
    <w:rsid w:val="00A71B13"/>
    <w:rsid w:val="00A73A1B"/>
    <w:rsid w:val="00A76215"/>
    <w:rsid w:val="00A77238"/>
    <w:rsid w:val="00A80589"/>
    <w:rsid w:val="00A81972"/>
    <w:rsid w:val="00A81CDB"/>
    <w:rsid w:val="00A81D8C"/>
    <w:rsid w:val="00A83098"/>
    <w:rsid w:val="00A832BD"/>
    <w:rsid w:val="00A86407"/>
    <w:rsid w:val="00A9133F"/>
    <w:rsid w:val="00A939C8"/>
    <w:rsid w:val="00A93A09"/>
    <w:rsid w:val="00A93D84"/>
    <w:rsid w:val="00A95D84"/>
    <w:rsid w:val="00A96022"/>
    <w:rsid w:val="00A9647A"/>
    <w:rsid w:val="00A96ECE"/>
    <w:rsid w:val="00A9780A"/>
    <w:rsid w:val="00AA00A9"/>
    <w:rsid w:val="00AA039C"/>
    <w:rsid w:val="00AA24AD"/>
    <w:rsid w:val="00AA5046"/>
    <w:rsid w:val="00AA579F"/>
    <w:rsid w:val="00AA5820"/>
    <w:rsid w:val="00AA6CF8"/>
    <w:rsid w:val="00AA7391"/>
    <w:rsid w:val="00AA7DA4"/>
    <w:rsid w:val="00AB0C7A"/>
    <w:rsid w:val="00AB1763"/>
    <w:rsid w:val="00AB1D91"/>
    <w:rsid w:val="00AB715F"/>
    <w:rsid w:val="00AB744D"/>
    <w:rsid w:val="00AC0C1D"/>
    <w:rsid w:val="00AC1ACD"/>
    <w:rsid w:val="00AC38BF"/>
    <w:rsid w:val="00AC3DFF"/>
    <w:rsid w:val="00AC4A5C"/>
    <w:rsid w:val="00AC4DEE"/>
    <w:rsid w:val="00AD188F"/>
    <w:rsid w:val="00AD1A09"/>
    <w:rsid w:val="00AD2A31"/>
    <w:rsid w:val="00AD3CFE"/>
    <w:rsid w:val="00AD5604"/>
    <w:rsid w:val="00AD5AC3"/>
    <w:rsid w:val="00AD6936"/>
    <w:rsid w:val="00AD7633"/>
    <w:rsid w:val="00AD782A"/>
    <w:rsid w:val="00AE0B73"/>
    <w:rsid w:val="00AE0C83"/>
    <w:rsid w:val="00AE1405"/>
    <w:rsid w:val="00AE17EA"/>
    <w:rsid w:val="00AE1B54"/>
    <w:rsid w:val="00AE2426"/>
    <w:rsid w:val="00AE3C2A"/>
    <w:rsid w:val="00AE3EE3"/>
    <w:rsid w:val="00AE6025"/>
    <w:rsid w:val="00AE66FB"/>
    <w:rsid w:val="00AF1D63"/>
    <w:rsid w:val="00AF22EA"/>
    <w:rsid w:val="00AF233F"/>
    <w:rsid w:val="00AF35A5"/>
    <w:rsid w:val="00AF54D3"/>
    <w:rsid w:val="00AF5F92"/>
    <w:rsid w:val="00AF6C87"/>
    <w:rsid w:val="00AF715F"/>
    <w:rsid w:val="00B01723"/>
    <w:rsid w:val="00B02274"/>
    <w:rsid w:val="00B03A5F"/>
    <w:rsid w:val="00B046AA"/>
    <w:rsid w:val="00B06352"/>
    <w:rsid w:val="00B06565"/>
    <w:rsid w:val="00B07254"/>
    <w:rsid w:val="00B07517"/>
    <w:rsid w:val="00B103CC"/>
    <w:rsid w:val="00B10634"/>
    <w:rsid w:val="00B11E47"/>
    <w:rsid w:val="00B12E90"/>
    <w:rsid w:val="00B13EEC"/>
    <w:rsid w:val="00B15171"/>
    <w:rsid w:val="00B1794C"/>
    <w:rsid w:val="00B204C8"/>
    <w:rsid w:val="00B20BE8"/>
    <w:rsid w:val="00B21346"/>
    <w:rsid w:val="00B222FF"/>
    <w:rsid w:val="00B23380"/>
    <w:rsid w:val="00B2351F"/>
    <w:rsid w:val="00B237FF"/>
    <w:rsid w:val="00B238AF"/>
    <w:rsid w:val="00B239CC"/>
    <w:rsid w:val="00B23FAA"/>
    <w:rsid w:val="00B248E8"/>
    <w:rsid w:val="00B24E4C"/>
    <w:rsid w:val="00B25D4F"/>
    <w:rsid w:val="00B26937"/>
    <w:rsid w:val="00B26B56"/>
    <w:rsid w:val="00B271A7"/>
    <w:rsid w:val="00B30790"/>
    <w:rsid w:val="00B3150E"/>
    <w:rsid w:val="00B32652"/>
    <w:rsid w:val="00B32BEC"/>
    <w:rsid w:val="00B33496"/>
    <w:rsid w:val="00B33509"/>
    <w:rsid w:val="00B33DA3"/>
    <w:rsid w:val="00B348B9"/>
    <w:rsid w:val="00B35AF6"/>
    <w:rsid w:val="00B36AA4"/>
    <w:rsid w:val="00B36CD2"/>
    <w:rsid w:val="00B37081"/>
    <w:rsid w:val="00B409AA"/>
    <w:rsid w:val="00B41E53"/>
    <w:rsid w:val="00B42140"/>
    <w:rsid w:val="00B42174"/>
    <w:rsid w:val="00B42A11"/>
    <w:rsid w:val="00B42C0E"/>
    <w:rsid w:val="00B433BC"/>
    <w:rsid w:val="00B44EA9"/>
    <w:rsid w:val="00B45466"/>
    <w:rsid w:val="00B454F0"/>
    <w:rsid w:val="00B50797"/>
    <w:rsid w:val="00B51233"/>
    <w:rsid w:val="00B51A9B"/>
    <w:rsid w:val="00B52124"/>
    <w:rsid w:val="00B52815"/>
    <w:rsid w:val="00B5336A"/>
    <w:rsid w:val="00B5354C"/>
    <w:rsid w:val="00B551E5"/>
    <w:rsid w:val="00B55DED"/>
    <w:rsid w:val="00B5755F"/>
    <w:rsid w:val="00B577C7"/>
    <w:rsid w:val="00B61183"/>
    <w:rsid w:val="00B61F30"/>
    <w:rsid w:val="00B6264B"/>
    <w:rsid w:val="00B62CF2"/>
    <w:rsid w:val="00B63375"/>
    <w:rsid w:val="00B633C9"/>
    <w:rsid w:val="00B63A96"/>
    <w:rsid w:val="00B64703"/>
    <w:rsid w:val="00B64F83"/>
    <w:rsid w:val="00B66352"/>
    <w:rsid w:val="00B6672A"/>
    <w:rsid w:val="00B66C55"/>
    <w:rsid w:val="00B66C5C"/>
    <w:rsid w:val="00B67C01"/>
    <w:rsid w:val="00B7013D"/>
    <w:rsid w:val="00B70D84"/>
    <w:rsid w:val="00B72612"/>
    <w:rsid w:val="00B7352C"/>
    <w:rsid w:val="00B73751"/>
    <w:rsid w:val="00B74845"/>
    <w:rsid w:val="00B74C9A"/>
    <w:rsid w:val="00B75441"/>
    <w:rsid w:val="00B75F8B"/>
    <w:rsid w:val="00B76B9B"/>
    <w:rsid w:val="00B80A65"/>
    <w:rsid w:val="00B843A3"/>
    <w:rsid w:val="00B86A08"/>
    <w:rsid w:val="00B876CC"/>
    <w:rsid w:val="00B87E44"/>
    <w:rsid w:val="00B87EC1"/>
    <w:rsid w:val="00B906B6"/>
    <w:rsid w:val="00B90903"/>
    <w:rsid w:val="00B91F38"/>
    <w:rsid w:val="00B91F8E"/>
    <w:rsid w:val="00B936E6"/>
    <w:rsid w:val="00B971EB"/>
    <w:rsid w:val="00B9735B"/>
    <w:rsid w:val="00B97463"/>
    <w:rsid w:val="00B97692"/>
    <w:rsid w:val="00B97B85"/>
    <w:rsid w:val="00B97D7A"/>
    <w:rsid w:val="00BA3E13"/>
    <w:rsid w:val="00BA4129"/>
    <w:rsid w:val="00BA51D2"/>
    <w:rsid w:val="00BA7FF5"/>
    <w:rsid w:val="00BB068F"/>
    <w:rsid w:val="00BB069B"/>
    <w:rsid w:val="00BB0C83"/>
    <w:rsid w:val="00BB1758"/>
    <w:rsid w:val="00BB204D"/>
    <w:rsid w:val="00BB2547"/>
    <w:rsid w:val="00BB5AB0"/>
    <w:rsid w:val="00BB6CAC"/>
    <w:rsid w:val="00BB6ECC"/>
    <w:rsid w:val="00BB7FED"/>
    <w:rsid w:val="00BC0689"/>
    <w:rsid w:val="00BC1568"/>
    <w:rsid w:val="00BC2CF6"/>
    <w:rsid w:val="00BC3518"/>
    <w:rsid w:val="00BC458A"/>
    <w:rsid w:val="00BC4ADD"/>
    <w:rsid w:val="00BC5116"/>
    <w:rsid w:val="00BC5983"/>
    <w:rsid w:val="00BC64A3"/>
    <w:rsid w:val="00BC66A2"/>
    <w:rsid w:val="00BC66B3"/>
    <w:rsid w:val="00BC7370"/>
    <w:rsid w:val="00BD1AAA"/>
    <w:rsid w:val="00BD2228"/>
    <w:rsid w:val="00BD26DC"/>
    <w:rsid w:val="00BD2FFF"/>
    <w:rsid w:val="00BD320C"/>
    <w:rsid w:val="00BD4152"/>
    <w:rsid w:val="00BD4C5B"/>
    <w:rsid w:val="00BD516A"/>
    <w:rsid w:val="00BD6556"/>
    <w:rsid w:val="00BD7A48"/>
    <w:rsid w:val="00BE0716"/>
    <w:rsid w:val="00BE329F"/>
    <w:rsid w:val="00BE3B8A"/>
    <w:rsid w:val="00BE3FCF"/>
    <w:rsid w:val="00BE44CE"/>
    <w:rsid w:val="00BE5353"/>
    <w:rsid w:val="00BE60BE"/>
    <w:rsid w:val="00BE664F"/>
    <w:rsid w:val="00BE6CA1"/>
    <w:rsid w:val="00BF0E1C"/>
    <w:rsid w:val="00BF0E46"/>
    <w:rsid w:val="00BF1184"/>
    <w:rsid w:val="00BF285B"/>
    <w:rsid w:val="00BF4EE2"/>
    <w:rsid w:val="00BF638A"/>
    <w:rsid w:val="00BF69D5"/>
    <w:rsid w:val="00BF7187"/>
    <w:rsid w:val="00C00AF2"/>
    <w:rsid w:val="00C00B91"/>
    <w:rsid w:val="00C00EE8"/>
    <w:rsid w:val="00C02935"/>
    <w:rsid w:val="00C04DB8"/>
    <w:rsid w:val="00C05131"/>
    <w:rsid w:val="00C06327"/>
    <w:rsid w:val="00C065A1"/>
    <w:rsid w:val="00C06B8B"/>
    <w:rsid w:val="00C07F22"/>
    <w:rsid w:val="00C10221"/>
    <w:rsid w:val="00C106F9"/>
    <w:rsid w:val="00C115C5"/>
    <w:rsid w:val="00C11B2F"/>
    <w:rsid w:val="00C1206D"/>
    <w:rsid w:val="00C12B03"/>
    <w:rsid w:val="00C12B48"/>
    <w:rsid w:val="00C12BE4"/>
    <w:rsid w:val="00C130F6"/>
    <w:rsid w:val="00C137AE"/>
    <w:rsid w:val="00C14594"/>
    <w:rsid w:val="00C14CB4"/>
    <w:rsid w:val="00C15306"/>
    <w:rsid w:val="00C153CB"/>
    <w:rsid w:val="00C15B96"/>
    <w:rsid w:val="00C16BF8"/>
    <w:rsid w:val="00C17D9D"/>
    <w:rsid w:val="00C2086B"/>
    <w:rsid w:val="00C21FDB"/>
    <w:rsid w:val="00C23478"/>
    <w:rsid w:val="00C24434"/>
    <w:rsid w:val="00C26AAD"/>
    <w:rsid w:val="00C30078"/>
    <w:rsid w:val="00C306DD"/>
    <w:rsid w:val="00C311AE"/>
    <w:rsid w:val="00C342A1"/>
    <w:rsid w:val="00C3509C"/>
    <w:rsid w:val="00C36486"/>
    <w:rsid w:val="00C36814"/>
    <w:rsid w:val="00C36A1A"/>
    <w:rsid w:val="00C36ABC"/>
    <w:rsid w:val="00C36BC8"/>
    <w:rsid w:val="00C36F5A"/>
    <w:rsid w:val="00C40861"/>
    <w:rsid w:val="00C40E4C"/>
    <w:rsid w:val="00C42E0B"/>
    <w:rsid w:val="00C4342A"/>
    <w:rsid w:val="00C434BD"/>
    <w:rsid w:val="00C44858"/>
    <w:rsid w:val="00C45819"/>
    <w:rsid w:val="00C461DF"/>
    <w:rsid w:val="00C46AA9"/>
    <w:rsid w:val="00C46C56"/>
    <w:rsid w:val="00C46E57"/>
    <w:rsid w:val="00C47C42"/>
    <w:rsid w:val="00C500B9"/>
    <w:rsid w:val="00C501D8"/>
    <w:rsid w:val="00C50AD2"/>
    <w:rsid w:val="00C50EE7"/>
    <w:rsid w:val="00C52F7C"/>
    <w:rsid w:val="00C54413"/>
    <w:rsid w:val="00C54614"/>
    <w:rsid w:val="00C56F16"/>
    <w:rsid w:val="00C57FDD"/>
    <w:rsid w:val="00C616A5"/>
    <w:rsid w:val="00C61C81"/>
    <w:rsid w:val="00C63726"/>
    <w:rsid w:val="00C6395F"/>
    <w:rsid w:val="00C648A1"/>
    <w:rsid w:val="00C648C3"/>
    <w:rsid w:val="00C65328"/>
    <w:rsid w:val="00C65766"/>
    <w:rsid w:val="00C66F28"/>
    <w:rsid w:val="00C673A0"/>
    <w:rsid w:val="00C7001B"/>
    <w:rsid w:val="00C70920"/>
    <w:rsid w:val="00C70C11"/>
    <w:rsid w:val="00C70D09"/>
    <w:rsid w:val="00C72B0E"/>
    <w:rsid w:val="00C76A41"/>
    <w:rsid w:val="00C802B8"/>
    <w:rsid w:val="00C81B14"/>
    <w:rsid w:val="00C84B58"/>
    <w:rsid w:val="00C84BB0"/>
    <w:rsid w:val="00C87DA5"/>
    <w:rsid w:val="00C907E0"/>
    <w:rsid w:val="00C916A4"/>
    <w:rsid w:val="00C9187F"/>
    <w:rsid w:val="00C939CA"/>
    <w:rsid w:val="00C94A7A"/>
    <w:rsid w:val="00C94AA7"/>
    <w:rsid w:val="00C971D3"/>
    <w:rsid w:val="00C972D4"/>
    <w:rsid w:val="00C97925"/>
    <w:rsid w:val="00C979EE"/>
    <w:rsid w:val="00CA000D"/>
    <w:rsid w:val="00CA0395"/>
    <w:rsid w:val="00CA21C9"/>
    <w:rsid w:val="00CA326D"/>
    <w:rsid w:val="00CA3B5B"/>
    <w:rsid w:val="00CA3FAB"/>
    <w:rsid w:val="00CA6006"/>
    <w:rsid w:val="00CA715D"/>
    <w:rsid w:val="00CA7E99"/>
    <w:rsid w:val="00CB1B21"/>
    <w:rsid w:val="00CB2632"/>
    <w:rsid w:val="00CB5152"/>
    <w:rsid w:val="00CB75A5"/>
    <w:rsid w:val="00CC2130"/>
    <w:rsid w:val="00CC3995"/>
    <w:rsid w:val="00CC44C3"/>
    <w:rsid w:val="00CC4920"/>
    <w:rsid w:val="00CC5FD6"/>
    <w:rsid w:val="00CC60F9"/>
    <w:rsid w:val="00CC6C3A"/>
    <w:rsid w:val="00CC6FA5"/>
    <w:rsid w:val="00CC7B30"/>
    <w:rsid w:val="00CC7BFF"/>
    <w:rsid w:val="00CD1BEC"/>
    <w:rsid w:val="00CD354A"/>
    <w:rsid w:val="00CD405D"/>
    <w:rsid w:val="00CD4C55"/>
    <w:rsid w:val="00CD5412"/>
    <w:rsid w:val="00CD65F0"/>
    <w:rsid w:val="00CD7380"/>
    <w:rsid w:val="00CD7B52"/>
    <w:rsid w:val="00CE193F"/>
    <w:rsid w:val="00CE1AFD"/>
    <w:rsid w:val="00CE1CD0"/>
    <w:rsid w:val="00CE3D85"/>
    <w:rsid w:val="00CE3E27"/>
    <w:rsid w:val="00CE765A"/>
    <w:rsid w:val="00CE7C95"/>
    <w:rsid w:val="00CF1C61"/>
    <w:rsid w:val="00CF25AB"/>
    <w:rsid w:val="00CF2BDA"/>
    <w:rsid w:val="00CF3A0A"/>
    <w:rsid w:val="00CF3F80"/>
    <w:rsid w:val="00CF5131"/>
    <w:rsid w:val="00CF55E9"/>
    <w:rsid w:val="00CF585E"/>
    <w:rsid w:val="00CF622E"/>
    <w:rsid w:val="00CF7B1D"/>
    <w:rsid w:val="00CF7F32"/>
    <w:rsid w:val="00D00D7B"/>
    <w:rsid w:val="00D014AE"/>
    <w:rsid w:val="00D016B7"/>
    <w:rsid w:val="00D02C55"/>
    <w:rsid w:val="00D033A4"/>
    <w:rsid w:val="00D04BCF"/>
    <w:rsid w:val="00D053E6"/>
    <w:rsid w:val="00D05969"/>
    <w:rsid w:val="00D05E96"/>
    <w:rsid w:val="00D06287"/>
    <w:rsid w:val="00D07DC7"/>
    <w:rsid w:val="00D07F09"/>
    <w:rsid w:val="00D11F6F"/>
    <w:rsid w:val="00D125B8"/>
    <w:rsid w:val="00D12F1B"/>
    <w:rsid w:val="00D137FE"/>
    <w:rsid w:val="00D145BF"/>
    <w:rsid w:val="00D14D3B"/>
    <w:rsid w:val="00D171FC"/>
    <w:rsid w:val="00D179DD"/>
    <w:rsid w:val="00D202DE"/>
    <w:rsid w:val="00D213FF"/>
    <w:rsid w:val="00D21E66"/>
    <w:rsid w:val="00D224A2"/>
    <w:rsid w:val="00D22562"/>
    <w:rsid w:val="00D22F17"/>
    <w:rsid w:val="00D23440"/>
    <w:rsid w:val="00D30E99"/>
    <w:rsid w:val="00D32F83"/>
    <w:rsid w:val="00D33675"/>
    <w:rsid w:val="00D35270"/>
    <w:rsid w:val="00D358BD"/>
    <w:rsid w:val="00D3682E"/>
    <w:rsid w:val="00D372C5"/>
    <w:rsid w:val="00D37924"/>
    <w:rsid w:val="00D40C1A"/>
    <w:rsid w:val="00D40F80"/>
    <w:rsid w:val="00D41461"/>
    <w:rsid w:val="00D42B7F"/>
    <w:rsid w:val="00D43EDD"/>
    <w:rsid w:val="00D44A99"/>
    <w:rsid w:val="00D45230"/>
    <w:rsid w:val="00D459BA"/>
    <w:rsid w:val="00D45F90"/>
    <w:rsid w:val="00D47950"/>
    <w:rsid w:val="00D51649"/>
    <w:rsid w:val="00D5216C"/>
    <w:rsid w:val="00D5289C"/>
    <w:rsid w:val="00D54122"/>
    <w:rsid w:val="00D565A5"/>
    <w:rsid w:val="00D57136"/>
    <w:rsid w:val="00D574F3"/>
    <w:rsid w:val="00D600C0"/>
    <w:rsid w:val="00D62329"/>
    <w:rsid w:val="00D646B2"/>
    <w:rsid w:val="00D64CF2"/>
    <w:rsid w:val="00D6546E"/>
    <w:rsid w:val="00D67B89"/>
    <w:rsid w:val="00D7085D"/>
    <w:rsid w:val="00D71696"/>
    <w:rsid w:val="00D71DA5"/>
    <w:rsid w:val="00D726B6"/>
    <w:rsid w:val="00D72C84"/>
    <w:rsid w:val="00D72E25"/>
    <w:rsid w:val="00D74B4C"/>
    <w:rsid w:val="00D74E8E"/>
    <w:rsid w:val="00D77608"/>
    <w:rsid w:val="00D77D17"/>
    <w:rsid w:val="00D77FD6"/>
    <w:rsid w:val="00D807CA"/>
    <w:rsid w:val="00D814E9"/>
    <w:rsid w:val="00D8371C"/>
    <w:rsid w:val="00D83AA5"/>
    <w:rsid w:val="00D84772"/>
    <w:rsid w:val="00D86528"/>
    <w:rsid w:val="00D87D93"/>
    <w:rsid w:val="00D87E53"/>
    <w:rsid w:val="00D90692"/>
    <w:rsid w:val="00D90B6C"/>
    <w:rsid w:val="00D9140B"/>
    <w:rsid w:val="00D9216A"/>
    <w:rsid w:val="00D92466"/>
    <w:rsid w:val="00D92D41"/>
    <w:rsid w:val="00D9386F"/>
    <w:rsid w:val="00D945D1"/>
    <w:rsid w:val="00D9549B"/>
    <w:rsid w:val="00D9572F"/>
    <w:rsid w:val="00D95D08"/>
    <w:rsid w:val="00D96ED7"/>
    <w:rsid w:val="00DA1C72"/>
    <w:rsid w:val="00DA2D5B"/>
    <w:rsid w:val="00DA44F4"/>
    <w:rsid w:val="00DA49F7"/>
    <w:rsid w:val="00DA7392"/>
    <w:rsid w:val="00DB0D8D"/>
    <w:rsid w:val="00DB2314"/>
    <w:rsid w:val="00DB34A8"/>
    <w:rsid w:val="00DB505F"/>
    <w:rsid w:val="00DB79A6"/>
    <w:rsid w:val="00DC0524"/>
    <w:rsid w:val="00DC0E66"/>
    <w:rsid w:val="00DC1185"/>
    <w:rsid w:val="00DC19E2"/>
    <w:rsid w:val="00DC3403"/>
    <w:rsid w:val="00DC5CAF"/>
    <w:rsid w:val="00DC6853"/>
    <w:rsid w:val="00DC685A"/>
    <w:rsid w:val="00DC791A"/>
    <w:rsid w:val="00DC7A94"/>
    <w:rsid w:val="00DD1BDA"/>
    <w:rsid w:val="00DD45E6"/>
    <w:rsid w:val="00DD5988"/>
    <w:rsid w:val="00DE17AD"/>
    <w:rsid w:val="00DE2C3D"/>
    <w:rsid w:val="00DE353D"/>
    <w:rsid w:val="00DE3667"/>
    <w:rsid w:val="00DE7045"/>
    <w:rsid w:val="00DE7D93"/>
    <w:rsid w:val="00DF0E6B"/>
    <w:rsid w:val="00DF1B6C"/>
    <w:rsid w:val="00DF1C3C"/>
    <w:rsid w:val="00DF29F6"/>
    <w:rsid w:val="00DF372D"/>
    <w:rsid w:val="00DF3810"/>
    <w:rsid w:val="00DF3D9E"/>
    <w:rsid w:val="00DF4412"/>
    <w:rsid w:val="00DF4D68"/>
    <w:rsid w:val="00DF503C"/>
    <w:rsid w:val="00DF5B3A"/>
    <w:rsid w:val="00DF6283"/>
    <w:rsid w:val="00DF6572"/>
    <w:rsid w:val="00DF65D0"/>
    <w:rsid w:val="00DF6AFF"/>
    <w:rsid w:val="00E00307"/>
    <w:rsid w:val="00E003C5"/>
    <w:rsid w:val="00E0088C"/>
    <w:rsid w:val="00E01B7D"/>
    <w:rsid w:val="00E0781F"/>
    <w:rsid w:val="00E11C84"/>
    <w:rsid w:val="00E1235D"/>
    <w:rsid w:val="00E12A75"/>
    <w:rsid w:val="00E13925"/>
    <w:rsid w:val="00E141C8"/>
    <w:rsid w:val="00E14817"/>
    <w:rsid w:val="00E14ABC"/>
    <w:rsid w:val="00E15453"/>
    <w:rsid w:val="00E15A1B"/>
    <w:rsid w:val="00E214C4"/>
    <w:rsid w:val="00E21E9A"/>
    <w:rsid w:val="00E2257A"/>
    <w:rsid w:val="00E2533D"/>
    <w:rsid w:val="00E25716"/>
    <w:rsid w:val="00E26B1D"/>
    <w:rsid w:val="00E303DC"/>
    <w:rsid w:val="00E3139A"/>
    <w:rsid w:val="00E3174E"/>
    <w:rsid w:val="00E32450"/>
    <w:rsid w:val="00E336FC"/>
    <w:rsid w:val="00E33BEF"/>
    <w:rsid w:val="00E3538D"/>
    <w:rsid w:val="00E40EE2"/>
    <w:rsid w:val="00E41A63"/>
    <w:rsid w:val="00E41F62"/>
    <w:rsid w:val="00E42475"/>
    <w:rsid w:val="00E4272B"/>
    <w:rsid w:val="00E42CC8"/>
    <w:rsid w:val="00E4427A"/>
    <w:rsid w:val="00E44813"/>
    <w:rsid w:val="00E45A80"/>
    <w:rsid w:val="00E466F0"/>
    <w:rsid w:val="00E46B57"/>
    <w:rsid w:val="00E51AA3"/>
    <w:rsid w:val="00E53271"/>
    <w:rsid w:val="00E554C7"/>
    <w:rsid w:val="00E559F0"/>
    <w:rsid w:val="00E5626C"/>
    <w:rsid w:val="00E573B0"/>
    <w:rsid w:val="00E5740F"/>
    <w:rsid w:val="00E62FB1"/>
    <w:rsid w:val="00E6324E"/>
    <w:rsid w:val="00E63659"/>
    <w:rsid w:val="00E6384E"/>
    <w:rsid w:val="00E63ED5"/>
    <w:rsid w:val="00E64085"/>
    <w:rsid w:val="00E6485F"/>
    <w:rsid w:val="00E65569"/>
    <w:rsid w:val="00E6583E"/>
    <w:rsid w:val="00E6645E"/>
    <w:rsid w:val="00E66965"/>
    <w:rsid w:val="00E678CE"/>
    <w:rsid w:val="00E740B8"/>
    <w:rsid w:val="00E7483A"/>
    <w:rsid w:val="00E76DB5"/>
    <w:rsid w:val="00E8108C"/>
    <w:rsid w:val="00E81594"/>
    <w:rsid w:val="00E81DC5"/>
    <w:rsid w:val="00E8316A"/>
    <w:rsid w:val="00E845F8"/>
    <w:rsid w:val="00E84FC9"/>
    <w:rsid w:val="00E85169"/>
    <w:rsid w:val="00E8601B"/>
    <w:rsid w:val="00E86462"/>
    <w:rsid w:val="00E86CF7"/>
    <w:rsid w:val="00E91D6C"/>
    <w:rsid w:val="00E937F5"/>
    <w:rsid w:val="00E95122"/>
    <w:rsid w:val="00E9601A"/>
    <w:rsid w:val="00E96B42"/>
    <w:rsid w:val="00E976C6"/>
    <w:rsid w:val="00EA1CE2"/>
    <w:rsid w:val="00EA1DD4"/>
    <w:rsid w:val="00EA3F8B"/>
    <w:rsid w:val="00EA42C9"/>
    <w:rsid w:val="00EA4601"/>
    <w:rsid w:val="00EA473C"/>
    <w:rsid w:val="00EA50FE"/>
    <w:rsid w:val="00EA5DB4"/>
    <w:rsid w:val="00EA5EB9"/>
    <w:rsid w:val="00EA619F"/>
    <w:rsid w:val="00EA7C5E"/>
    <w:rsid w:val="00EA7E44"/>
    <w:rsid w:val="00EB016F"/>
    <w:rsid w:val="00EB1522"/>
    <w:rsid w:val="00EB1A36"/>
    <w:rsid w:val="00EB1ADB"/>
    <w:rsid w:val="00EB2E0C"/>
    <w:rsid w:val="00EB3338"/>
    <w:rsid w:val="00EB513A"/>
    <w:rsid w:val="00EB5399"/>
    <w:rsid w:val="00EB58FA"/>
    <w:rsid w:val="00EB5B9F"/>
    <w:rsid w:val="00EB7118"/>
    <w:rsid w:val="00EB7BB6"/>
    <w:rsid w:val="00EC245A"/>
    <w:rsid w:val="00EC4597"/>
    <w:rsid w:val="00EC4B3C"/>
    <w:rsid w:val="00EC4CFC"/>
    <w:rsid w:val="00EC59E1"/>
    <w:rsid w:val="00EC5D8F"/>
    <w:rsid w:val="00EC5E93"/>
    <w:rsid w:val="00EC75AF"/>
    <w:rsid w:val="00EC7ABD"/>
    <w:rsid w:val="00EC7AD5"/>
    <w:rsid w:val="00EC7EB9"/>
    <w:rsid w:val="00ED3787"/>
    <w:rsid w:val="00ED3EFF"/>
    <w:rsid w:val="00ED49FD"/>
    <w:rsid w:val="00ED5000"/>
    <w:rsid w:val="00ED5844"/>
    <w:rsid w:val="00ED59FE"/>
    <w:rsid w:val="00ED6202"/>
    <w:rsid w:val="00ED64F6"/>
    <w:rsid w:val="00ED6D29"/>
    <w:rsid w:val="00EE1132"/>
    <w:rsid w:val="00EE1BA8"/>
    <w:rsid w:val="00EE1EEF"/>
    <w:rsid w:val="00EE1F86"/>
    <w:rsid w:val="00EE2293"/>
    <w:rsid w:val="00EE371D"/>
    <w:rsid w:val="00EE464A"/>
    <w:rsid w:val="00EE524C"/>
    <w:rsid w:val="00EE767F"/>
    <w:rsid w:val="00EF072B"/>
    <w:rsid w:val="00EF1138"/>
    <w:rsid w:val="00EF182A"/>
    <w:rsid w:val="00EF1BA6"/>
    <w:rsid w:val="00EF29B7"/>
    <w:rsid w:val="00EF2B98"/>
    <w:rsid w:val="00EF2E02"/>
    <w:rsid w:val="00EF5DD7"/>
    <w:rsid w:val="00EF61C4"/>
    <w:rsid w:val="00EF69FA"/>
    <w:rsid w:val="00F00446"/>
    <w:rsid w:val="00F01459"/>
    <w:rsid w:val="00F01AC6"/>
    <w:rsid w:val="00F01FCB"/>
    <w:rsid w:val="00F03043"/>
    <w:rsid w:val="00F0315C"/>
    <w:rsid w:val="00F032AA"/>
    <w:rsid w:val="00F032CC"/>
    <w:rsid w:val="00F040A0"/>
    <w:rsid w:val="00F048A5"/>
    <w:rsid w:val="00F066C4"/>
    <w:rsid w:val="00F06A7A"/>
    <w:rsid w:val="00F10BC9"/>
    <w:rsid w:val="00F118E7"/>
    <w:rsid w:val="00F14232"/>
    <w:rsid w:val="00F142A3"/>
    <w:rsid w:val="00F16962"/>
    <w:rsid w:val="00F16EDE"/>
    <w:rsid w:val="00F1775D"/>
    <w:rsid w:val="00F17C11"/>
    <w:rsid w:val="00F206AC"/>
    <w:rsid w:val="00F21016"/>
    <w:rsid w:val="00F2210E"/>
    <w:rsid w:val="00F24A57"/>
    <w:rsid w:val="00F25525"/>
    <w:rsid w:val="00F26B4E"/>
    <w:rsid w:val="00F26DC1"/>
    <w:rsid w:val="00F27436"/>
    <w:rsid w:val="00F274B0"/>
    <w:rsid w:val="00F308D3"/>
    <w:rsid w:val="00F3119E"/>
    <w:rsid w:val="00F311F4"/>
    <w:rsid w:val="00F32068"/>
    <w:rsid w:val="00F32B48"/>
    <w:rsid w:val="00F33267"/>
    <w:rsid w:val="00F335F8"/>
    <w:rsid w:val="00F348CD"/>
    <w:rsid w:val="00F3521F"/>
    <w:rsid w:val="00F35C0C"/>
    <w:rsid w:val="00F35D82"/>
    <w:rsid w:val="00F375FF"/>
    <w:rsid w:val="00F37640"/>
    <w:rsid w:val="00F37688"/>
    <w:rsid w:val="00F41413"/>
    <w:rsid w:val="00F415E8"/>
    <w:rsid w:val="00F41704"/>
    <w:rsid w:val="00F41B93"/>
    <w:rsid w:val="00F41EE4"/>
    <w:rsid w:val="00F42656"/>
    <w:rsid w:val="00F42D2D"/>
    <w:rsid w:val="00F43A5A"/>
    <w:rsid w:val="00F43C40"/>
    <w:rsid w:val="00F44B1E"/>
    <w:rsid w:val="00F46119"/>
    <w:rsid w:val="00F46BA2"/>
    <w:rsid w:val="00F47A7F"/>
    <w:rsid w:val="00F504CB"/>
    <w:rsid w:val="00F5099C"/>
    <w:rsid w:val="00F50F3C"/>
    <w:rsid w:val="00F5187D"/>
    <w:rsid w:val="00F52356"/>
    <w:rsid w:val="00F53C57"/>
    <w:rsid w:val="00F53E9A"/>
    <w:rsid w:val="00F55CC6"/>
    <w:rsid w:val="00F56F63"/>
    <w:rsid w:val="00F57625"/>
    <w:rsid w:val="00F60DE8"/>
    <w:rsid w:val="00F613E9"/>
    <w:rsid w:val="00F61CE2"/>
    <w:rsid w:val="00F6211A"/>
    <w:rsid w:val="00F630E3"/>
    <w:rsid w:val="00F6343B"/>
    <w:rsid w:val="00F6452F"/>
    <w:rsid w:val="00F645A3"/>
    <w:rsid w:val="00F64A8D"/>
    <w:rsid w:val="00F65A79"/>
    <w:rsid w:val="00F6625F"/>
    <w:rsid w:val="00F70C13"/>
    <w:rsid w:val="00F70DB8"/>
    <w:rsid w:val="00F70FE0"/>
    <w:rsid w:val="00F713A0"/>
    <w:rsid w:val="00F71E78"/>
    <w:rsid w:val="00F720FC"/>
    <w:rsid w:val="00F8017A"/>
    <w:rsid w:val="00F80AFB"/>
    <w:rsid w:val="00F80E7B"/>
    <w:rsid w:val="00F81457"/>
    <w:rsid w:val="00F81485"/>
    <w:rsid w:val="00F817FC"/>
    <w:rsid w:val="00F81E29"/>
    <w:rsid w:val="00F82822"/>
    <w:rsid w:val="00F8308B"/>
    <w:rsid w:val="00F83A9F"/>
    <w:rsid w:val="00F85E9B"/>
    <w:rsid w:val="00F86469"/>
    <w:rsid w:val="00F8674F"/>
    <w:rsid w:val="00F90B05"/>
    <w:rsid w:val="00F90FF8"/>
    <w:rsid w:val="00F922F9"/>
    <w:rsid w:val="00F9386F"/>
    <w:rsid w:val="00F94168"/>
    <w:rsid w:val="00F94BE5"/>
    <w:rsid w:val="00F95456"/>
    <w:rsid w:val="00F95F3B"/>
    <w:rsid w:val="00F95FBA"/>
    <w:rsid w:val="00F965F7"/>
    <w:rsid w:val="00F9660C"/>
    <w:rsid w:val="00F96DD7"/>
    <w:rsid w:val="00F97675"/>
    <w:rsid w:val="00F97C35"/>
    <w:rsid w:val="00FA0D90"/>
    <w:rsid w:val="00FA10DA"/>
    <w:rsid w:val="00FA1E7F"/>
    <w:rsid w:val="00FA29BD"/>
    <w:rsid w:val="00FA30A8"/>
    <w:rsid w:val="00FA4959"/>
    <w:rsid w:val="00FA4DDB"/>
    <w:rsid w:val="00FA5649"/>
    <w:rsid w:val="00FA7D62"/>
    <w:rsid w:val="00FB0514"/>
    <w:rsid w:val="00FB0CD6"/>
    <w:rsid w:val="00FB18D6"/>
    <w:rsid w:val="00FB23DF"/>
    <w:rsid w:val="00FB2F6D"/>
    <w:rsid w:val="00FB31A2"/>
    <w:rsid w:val="00FB36D1"/>
    <w:rsid w:val="00FB3857"/>
    <w:rsid w:val="00FB58A6"/>
    <w:rsid w:val="00FB62DC"/>
    <w:rsid w:val="00FB7669"/>
    <w:rsid w:val="00FC06D5"/>
    <w:rsid w:val="00FC18E0"/>
    <w:rsid w:val="00FC1B9C"/>
    <w:rsid w:val="00FC233D"/>
    <w:rsid w:val="00FC262E"/>
    <w:rsid w:val="00FC3A7F"/>
    <w:rsid w:val="00FC41D6"/>
    <w:rsid w:val="00FC4483"/>
    <w:rsid w:val="00FC46A0"/>
    <w:rsid w:val="00FC5048"/>
    <w:rsid w:val="00FC7071"/>
    <w:rsid w:val="00FC7DF0"/>
    <w:rsid w:val="00FD0105"/>
    <w:rsid w:val="00FD013C"/>
    <w:rsid w:val="00FD0331"/>
    <w:rsid w:val="00FD06D3"/>
    <w:rsid w:val="00FD31E3"/>
    <w:rsid w:val="00FD3336"/>
    <w:rsid w:val="00FD4213"/>
    <w:rsid w:val="00FD4A54"/>
    <w:rsid w:val="00FD54E6"/>
    <w:rsid w:val="00FD5E04"/>
    <w:rsid w:val="00FD5EB1"/>
    <w:rsid w:val="00FD714A"/>
    <w:rsid w:val="00FD7FED"/>
    <w:rsid w:val="00FE0D53"/>
    <w:rsid w:val="00FE2DCB"/>
    <w:rsid w:val="00FE305F"/>
    <w:rsid w:val="00FE3DF6"/>
    <w:rsid w:val="00FE3EB5"/>
    <w:rsid w:val="00FE437E"/>
    <w:rsid w:val="00FE53DE"/>
    <w:rsid w:val="00FE62D1"/>
    <w:rsid w:val="00FE7F50"/>
    <w:rsid w:val="00FF0522"/>
    <w:rsid w:val="00FF0CFB"/>
    <w:rsid w:val="00FF0FDF"/>
    <w:rsid w:val="00FF1266"/>
    <w:rsid w:val="00FF40AF"/>
    <w:rsid w:val="00FF43EF"/>
    <w:rsid w:val="00FF4926"/>
    <w:rsid w:val="00FF5AD4"/>
    <w:rsid w:val="00FF5B91"/>
    <w:rsid w:val="00FF6014"/>
    <w:rsid w:val="00FF60D5"/>
    <w:rsid w:val="0223404A"/>
    <w:rsid w:val="03A04CAD"/>
    <w:rsid w:val="03E6650B"/>
    <w:rsid w:val="04B8F18A"/>
    <w:rsid w:val="055E28FD"/>
    <w:rsid w:val="07C62B54"/>
    <w:rsid w:val="08E82404"/>
    <w:rsid w:val="08FD5302"/>
    <w:rsid w:val="0964F012"/>
    <w:rsid w:val="0AE1A4C4"/>
    <w:rsid w:val="0F293A63"/>
    <w:rsid w:val="0F695C45"/>
    <w:rsid w:val="0F9C6376"/>
    <w:rsid w:val="11172F64"/>
    <w:rsid w:val="11FEB9D8"/>
    <w:rsid w:val="121EBE4B"/>
    <w:rsid w:val="12F8D6E8"/>
    <w:rsid w:val="1330003F"/>
    <w:rsid w:val="1336FF6F"/>
    <w:rsid w:val="14266164"/>
    <w:rsid w:val="149D2A0F"/>
    <w:rsid w:val="15056F6E"/>
    <w:rsid w:val="153D8627"/>
    <w:rsid w:val="156A3F75"/>
    <w:rsid w:val="15E84509"/>
    <w:rsid w:val="16FAD870"/>
    <w:rsid w:val="1760B4AB"/>
    <w:rsid w:val="18846D36"/>
    <w:rsid w:val="1891D8BD"/>
    <w:rsid w:val="18E13EF4"/>
    <w:rsid w:val="1ABE9104"/>
    <w:rsid w:val="1B79CAD0"/>
    <w:rsid w:val="1BCF5ACC"/>
    <w:rsid w:val="1C2EBD6B"/>
    <w:rsid w:val="1C40A585"/>
    <w:rsid w:val="1CF82957"/>
    <w:rsid w:val="1CFEC23B"/>
    <w:rsid w:val="1D4039E4"/>
    <w:rsid w:val="1F5242C6"/>
    <w:rsid w:val="1F72D321"/>
    <w:rsid w:val="20354E12"/>
    <w:rsid w:val="21EA33F3"/>
    <w:rsid w:val="22920951"/>
    <w:rsid w:val="22A295A8"/>
    <w:rsid w:val="237F23E7"/>
    <w:rsid w:val="242581B5"/>
    <w:rsid w:val="254771F8"/>
    <w:rsid w:val="25D2C486"/>
    <w:rsid w:val="25EB3C39"/>
    <w:rsid w:val="25F396A0"/>
    <w:rsid w:val="26051F85"/>
    <w:rsid w:val="2663602C"/>
    <w:rsid w:val="2714BA88"/>
    <w:rsid w:val="274FF070"/>
    <w:rsid w:val="27D6D35E"/>
    <w:rsid w:val="27F310DE"/>
    <w:rsid w:val="2810D23F"/>
    <w:rsid w:val="2847A88F"/>
    <w:rsid w:val="289164DB"/>
    <w:rsid w:val="29B7A0BC"/>
    <w:rsid w:val="2AA51F8C"/>
    <w:rsid w:val="2D0B3FA1"/>
    <w:rsid w:val="2D5CF571"/>
    <w:rsid w:val="2E48C136"/>
    <w:rsid w:val="2F1C6D03"/>
    <w:rsid w:val="302AF3EC"/>
    <w:rsid w:val="305770C6"/>
    <w:rsid w:val="30625C2F"/>
    <w:rsid w:val="30E66518"/>
    <w:rsid w:val="31A639E7"/>
    <w:rsid w:val="32EA6207"/>
    <w:rsid w:val="33E4E156"/>
    <w:rsid w:val="3468C345"/>
    <w:rsid w:val="34B03E55"/>
    <w:rsid w:val="35B1B7A4"/>
    <w:rsid w:val="3668BCCA"/>
    <w:rsid w:val="3698F25F"/>
    <w:rsid w:val="37B2D689"/>
    <w:rsid w:val="380AA0AA"/>
    <w:rsid w:val="39232B23"/>
    <w:rsid w:val="3935F6BA"/>
    <w:rsid w:val="3958735C"/>
    <w:rsid w:val="39C4F28F"/>
    <w:rsid w:val="3A2575E4"/>
    <w:rsid w:val="3A8AE140"/>
    <w:rsid w:val="3A950901"/>
    <w:rsid w:val="3B6D1DE6"/>
    <w:rsid w:val="3BBE07F8"/>
    <w:rsid w:val="3CF011C7"/>
    <w:rsid w:val="3D3D330C"/>
    <w:rsid w:val="3D46DB67"/>
    <w:rsid w:val="3E8CFF6C"/>
    <w:rsid w:val="3EC4EE63"/>
    <w:rsid w:val="40323C16"/>
    <w:rsid w:val="405F11D1"/>
    <w:rsid w:val="40CA7801"/>
    <w:rsid w:val="418E5043"/>
    <w:rsid w:val="419099F9"/>
    <w:rsid w:val="419D6F93"/>
    <w:rsid w:val="4234F579"/>
    <w:rsid w:val="428C9E4D"/>
    <w:rsid w:val="437CC0E1"/>
    <w:rsid w:val="44EFDD84"/>
    <w:rsid w:val="45BFDF33"/>
    <w:rsid w:val="46949614"/>
    <w:rsid w:val="46C7C682"/>
    <w:rsid w:val="471534BE"/>
    <w:rsid w:val="472123D3"/>
    <w:rsid w:val="47574A79"/>
    <w:rsid w:val="48BCD223"/>
    <w:rsid w:val="48DD8E4A"/>
    <w:rsid w:val="48DE6904"/>
    <w:rsid w:val="4AFFA82B"/>
    <w:rsid w:val="4B87F5D5"/>
    <w:rsid w:val="4C78E79B"/>
    <w:rsid w:val="4F370269"/>
    <w:rsid w:val="4F535951"/>
    <w:rsid w:val="4FBF147C"/>
    <w:rsid w:val="50046CEE"/>
    <w:rsid w:val="505013DF"/>
    <w:rsid w:val="52594766"/>
    <w:rsid w:val="5316349B"/>
    <w:rsid w:val="5400BC64"/>
    <w:rsid w:val="547081BE"/>
    <w:rsid w:val="54A34F76"/>
    <w:rsid w:val="55D000BF"/>
    <w:rsid w:val="55EC4715"/>
    <w:rsid w:val="561BBC15"/>
    <w:rsid w:val="56421434"/>
    <w:rsid w:val="56A5C622"/>
    <w:rsid w:val="56E5324F"/>
    <w:rsid w:val="582D712F"/>
    <w:rsid w:val="589BF0D4"/>
    <w:rsid w:val="589CD82F"/>
    <w:rsid w:val="58AF4357"/>
    <w:rsid w:val="5962C758"/>
    <w:rsid w:val="59B148CA"/>
    <w:rsid w:val="59B63DC4"/>
    <w:rsid w:val="59CAE32D"/>
    <w:rsid w:val="5BA02ADE"/>
    <w:rsid w:val="5C7DEAD6"/>
    <w:rsid w:val="5F2A3F52"/>
    <w:rsid w:val="5F93FBDE"/>
    <w:rsid w:val="5FF77F5D"/>
    <w:rsid w:val="60311DCC"/>
    <w:rsid w:val="604ED424"/>
    <w:rsid w:val="606A05D1"/>
    <w:rsid w:val="6085CAF1"/>
    <w:rsid w:val="6117F125"/>
    <w:rsid w:val="613BC1F8"/>
    <w:rsid w:val="63DA3C53"/>
    <w:rsid w:val="63FCC79D"/>
    <w:rsid w:val="64061D56"/>
    <w:rsid w:val="64905527"/>
    <w:rsid w:val="651E19A9"/>
    <w:rsid w:val="662A8D9E"/>
    <w:rsid w:val="67C0F78C"/>
    <w:rsid w:val="69B237F8"/>
    <w:rsid w:val="69E271BB"/>
    <w:rsid w:val="6ABEE49D"/>
    <w:rsid w:val="6AF8CB1F"/>
    <w:rsid w:val="6BE424F1"/>
    <w:rsid w:val="6C0F5D06"/>
    <w:rsid w:val="6C301B41"/>
    <w:rsid w:val="6D2130A2"/>
    <w:rsid w:val="6D660B41"/>
    <w:rsid w:val="6E17061B"/>
    <w:rsid w:val="6EA64F45"/>
    <w:rsid w:val="6EC337D1"/>
    <w:rsid w:val="6EFFD39A"/>
    <w:rsid w:val="6FDF671D"/>
    <w:rsid w:val="71CDA89E"/>
    <w:rsid w:val="71DFE13A"/>
    <w:rsid w:val="71F13254"/>
    <w:rsid w:val="71FD8EBE"/>
    <w:rsid w:val="72B28D41"/>
    <w:rsid w:val="72E5D35C"/>
    <w:rsid w:val="73087759"/>
    <w:rsid w:val="7318C8F8"/>
    <w:rsid w:val="7357751C"/>
    <w:rsid w:val="737E11E3"/>
    <w:rsid w:val="74D13539"/>
    <w:rsid w:val="752CEC34"/>
    <w:rsid w:val="772E1A25"/>
    <w:rsid w:val="775A1448"/>
    <w:rsid w:val="784D13FC"/>
    <w:rsid w:val="78C3D395"/>
    <w:rsid w:val="791775A5"/>
    <w:rsid w:val="79657700"/>
    <w:rsid w:val="79BABCBB"/>
    <w:rsid w:val="79D9F096"/>
    <w:rsid w:val="7B561B7F"/>
    <w:rsid w:val="7C20ACDC"/>
    <w:rsid w:val="7C97FDD2"/>
    <w:rsid w:val="7CDA323A"/>
    <w:rsid w:val="7CE859B2"/>
    <w:rsid w:val="7D360DEE"/>
    <w:rsid w:val="7D964731"/>
    <w:rsid w:val="7EE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FC7928F-D84E-46AB-8994-F5685B26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46"/>
    <w:pPr>
      <w:spacing w:after="120" w:line="312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ind w:left="432" w:hanging="432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5396"/>
    <w:pPr>
      <w:keepNext/>
      <w:keepLines/>
      <w:spacing w:before="40" w:after="0"/>
      <w:ind w:left="576" w:hanging="576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6462"/>
    <w:pPr>
      <w:keepNext/>
      <w:keepLines/>
      <w:spacing w:before="240"/>
      <w:ind w:left="720" w:hanging="72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6C49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6C49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6C49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6C49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6C49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6C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099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032A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96C49"/>
    <w:pPr>
      <w:ind w:left="720"/>
      <w:contextualSpacing/>
    </w:pPr>
  </w:style>
  <w:style w:type="paragraph" w:customStyle="1" w:styleId="Default">
    <w:name w:val="Default"/>
    <w:rsid w:val="00996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06462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07F3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6C4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6C4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6C49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6C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6C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996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6C4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6C4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C49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C49"/>
    <w:rPr>
      <w:rFonts w:ascii="Segoe UI" w:hAnsi="Segoe UI" w:cs="Segoe UI"/>
      <w:sz w:val="18"/>
      <w:szCs w:val="18"/>
    </w:rPr>
  </w:style>
  <w:style w:type="paragraph" w:customStyle="1" w:styleId="Titulnstrana">
    <w:name w:val="Titulní strana"/>
    <w:basedOn w:val="Normln"/>
    <w:link w:val="TitulnstranaChar"/>
    <w:qFormat/>
    <w:rsid w:val="0086062D"/>
    <w:pPr>
      <w:spacing w:line="264" w:lineRule="auto"/>
      <w:jc w:val="center"/>
    </w:pPr>
    <w:rPr>
      <w:rFonts w:cs="Arial"/>
      <w:b/>
      <w:sz w:val="28"/>
      <w:lang w:eastAsia="cs-CZ"/>
    </w:rPr>
  </w:style>
  <w:style w:type="character" w:customStyle="1" w:styleId="TitulnstranaChar">
    <w:name w:val="Titulní strana Char"/>
    <w:basedOn w:val="Standardnpsmoodstavce"/>
    <w:link w:val="Titulnstrana"/>
    <w:rsid w:val="0086062D"/>
    <w:rPr>
      <w:rFonts w:ascii="Arial" w:hAnsi="Arial" w:cs="Arial"/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62D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6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62D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5A8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5A8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5A88"/>
    <w:rPr>
      <w:vertAlign w:val="superscript"/>
    </w:rPr>
  </w:style>
  <w:style w:type="table" w:styleId="Mkatabulky">
    <w:name w:val="Table Grid"/>
    <w:basedOn w:val="Normlntabulka"/>
    <w:uiPriority w:val="39"/>
    <w:rsid w:val="00A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338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3380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23380"/>
    <w:rPr>
      <w:vertAlign w:val="superscript"/>
    </w:rPr>
  </w:style>
  <w:style w:type="paragraph" w:styleId="Revize">
    <w:name w:val="Revision"/>
    <w:hidden/>
    <w:uiPriority w:val="99"/>
    <w:semiHidden/>
    <w:rsid w:val="002D6F4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20F86CD88834C9DF4BF53A12661AE" ma:contentTypeVersion="6" ma:contentTypeDescription="Vytvoří nový dokument" ma:contentTypeScope="" ma:versionID="b9c4746c9f99aacd787be2064407dcf3">
  <xsd:schema xmlns:xsd="http://www.w3.org/2001/XMLSchema" xmlns:xs="http://www.w3.org/2001/XMLSchema" xmlns:p="http://schemas.microsoft.com/office/2006/metadata/properties" xmlns:ns2="a584bce1-3946-4d68-b90a-c37cc941a40f" xmlns:ns3="3cd1fcfc-948d-4fe3-9a25-2a8aa5575ef3" targetNamespace="http://schemas.microsoft.com/office/2006/metadata/properties" ma:root="true" ma:fieldsID="344d126ecf29d02d499257059a05184a" ns2:_="" ns3:_="">
    <xsd:import namespace="a584bce1-3946-4d68-b90a-c37cc941a40f"/>
    <xsd:import namespace="3cd1fcfc-948d-4fe3-9a25-2a8aa5575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bce1-3946-4d68-b90a-c37cc941a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fcfc-948d-4fe3-9a25-2a8aa5575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F653-024E-4C72-93FE-AB1AB6362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7DBB0-3D0D-4055-A873-1E2C6CE4D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4bce1-3946-4d68-b90a-c37cc941a40f"/>
    <ds:schemaRef ds:uri="3cd1fcfc-948d-4fe3-9a25-2a8aa5575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4B2B9-1431-446E-8C44-11F4C3649802}">
  <ds:schemaRefs>
    <ds:schemaRef ds:uri="http://purl.org/dc/terms/"/>
    <ds:schemaRef ds:uri="http://schemas.openxmlformats.org/package/2006/metadata/core-properties"/>
    <ds:schemaRef ds:uri="http://purl.org/dc/dcmitype/"/>
    <ds:schemaRef ds:uri="3cd1fcfc-948d-4fe3-9a25-2a8aa5575ef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584bce1-3946-4d68-b90a-c37cc941a40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CE1BE6-580D-4654-84D2-02665332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3038</Words>
  <Characters>17929</Characters>
  <Application>Microsoft Office Word</Application>
  <DocSecurity>4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Jurášková Pavla</dc:creator>
  <cp:lastModifiedBy>Kuželová Venuše</cp:lastModifiedBy>
  <cp:revision>2</cp:revision>
  <dcterms:created xsi:type="dcterms:W3CDTF">2020-07-24T09:34:00Z</dcterms:created>
  <dcterms:modified xsi:type="dcterms:W3CDTF">2020-07-24T09:34:00Z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0x0101005CF20F86CD88834C9DF4BF53A12661AE</vt:lpwstr>
  </property>
</Properties>
</file>